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1336" w:rsidRDefault="00911AB2" w:rsidP="00676801">
      <w:pPr>
        <w:spacing w:line="480" w:lineRule="auto"/>
        <w:rPr>
          <w:rFonts w:ascii="Arial" w:hAnsi="Arial" w:cs="Arial"/>
          <w:b/>
        </w:rPr>
      </w:pPr>
      <w:r>
        <w:rPr>
          <w:rFonts w:ascii="Arial" w:hAnsi="Arial" w:cs="Arial"/>
          <w:b/>
        </w:rPr>
        <w:t>Supplementary Text ST2</w:t>
      </w:r>
      <w:r w:rsidR="00951336">
        <w:rPr>
          <w:rFonts w:ascii="Arial" w:hAnsi="Arial" w:cs="Arial"/>
          <w:b/>
        </w:rPr>
        <w:t xml:space="preserve">. </w:t>
      </w:r>
    </w:p>
    <w:p w:rsidR="00FE6421" w:rsidRPr="00B1036F" w:rsidRDefault="00FE6421" w:rsidP="00FE6421">
      <w:pPr>
        <w:autoSpaceDE w:val="0"/>
        <w:autoSpaceDN w:val="0"/>
        <w:adjustRightInd w:val="0"/>
        <w:spacing w:after="0" w:line="240" w:lineRule="auto"/>
        <w:rPr>
          <w:rFonts w:ascii="Arial" w:hAnsi="Arial" w:cs="Arial"/>
          <w:b/>
        </w:rPr>
      </w:pPr>
      <w:r w:rsidRPr="00B1036F">
        <w:rPr>
          <w:rFonts w:ascii="Arial" w:hAnsi="Arial" w:cs="Arial"/>
          <w:b/>
        </w:rPr>
        <w:t xml:space="preserve">Characterization of 88 human embryo </w:t>
      </w:r>
      <w:r>
        <w:rPr>
          <w:rFonts w:ascii="Arial" w:hAnsi="Arial" w:cs="Arial"/>
          <w:b/>
        </w:rPr>
        <w:t>regulatory LTR</w:t>
      </w:r>
      <w:r w:rsidRPr="00B1036F">
        <w:rPr>
          <w:rFonts w:ascii="Arial" w:hAnsi="Arial" w:cs="Arial"/>
          <w:b/>
        </w:rPr>
        <w:t>s comprising putative up-stream regulatory elements of PPI networks of human disease-causing genes.</w:t>
      </w:r>
    </w:p>
    <w:p w:rsidR="00951336" w:rsidRDefault="00951336" w:rsidP="00676801">
      <w:pPr>
        <w:spacing w:line="480" w:lineRule="auto"/>
        <w:rPr>
          <w:rFonts w:ascii="Arial" w:hAnsi="Arial" w:cs="Arial"/>
          <w:b/>
        </w:rPr>
      </w:pPr>
    </w:p>
    <w:p w:rsidR="00FE6421" w:rsidRDefault="00FE6421" w:rsidP="00676801">
      <w:pPr>
        <w:spacing w:line="480" w:lineRule="auto"/>
        <w:rPr>
          <w:rFonts w:ascii="Arial" w:hAnsi="Arial" w:cs="Arial"/>
          <w:b/>
        </w:rPr>
      </w:pPr>
      <w:r>
        <w:rPr>
          <w:rFonts w:ascii="Arial" w:hAnsi="Arial" w:cs="Arial"/>
          <w:b/>
        </w:rPr>
        <w:t>Manuscript title:</w:t>
      </w:r>
    </w:p>
    <w:p w:rsidR="00676801" w:rsidRDefault="00676801" w:rsidP="00676801">
      <w:pPr>
        <w:spacing w:line="480" w:lineRule="auto"/>
        <w:rPr>
          <w:rFonts w:ascii="Arial" w:hAnsi="Arial" w:cs="Arial"/>
          <w:b/>
        </w:rPr>
      </w:pPr>
      <w:r>
        <w:rPr>
          <w:rFonts w:ascii="Arial" w:hAnsi="Arial" w:cs="Arial"/>
          <w:b/>
        </w:rPr>
        <w:t xml:space="preserve">Gene ontology-guided </w:t>
      </w:r>
      <w:r w:rsidR="002A0531">
        <w:rPr>
          <w:rFonts w:ascii="Arial" w:hAnsi="Arial" w:cs="Arial"/>
          <w:b/>
        </w:rPr>
        <w:t xml:space="preserve">proximity placement </w:t>
      </w:r>
      <w:r>
        <w:rPr>
          <w:rFonts w:ascii="Arial" w:hAnsi="Arial" w:cs="Arial"/>
          <w:b/>
        </w:rPr>
        <w:t>analyses of pan-primate regulatory LTR elements</w:t>
      </w:r>
      <w:r w:rsidR="002A0531">
        <w:rPr>
          <w:rFonts w:ascii="Arial" w:hAnsi="Arial" w:cs="Arial"/>
          <w:b/>
        </w:rPr>
        <w:t xml:space="preserve"> contributing to embryogenesis</w:t>
      </w:r>
      <w:r>
        <w:rPr>
          <w:rFonts w:ascii="Arial" w:hAnsi="Arial" w:cs="Arial"/>
          <w:b/>
        </w:rPr>
        <w:t>.</w:t>
      </w:r>
    </w:p>
    <w:p w:rsidR="00092EDF" w:rsidRPr="00715340" w:rsidRDefault="00092EDF" w:rsidP="00092EDF">
      <w:pPr>
        <w:autoSpaceDE w:val="0"/>
        <w:autoSpaceDN w:val="0"/>
        <w:adjustRightInd w:val="0"/>
        <w:spacing w:after="0" w:line="480" w:lineRule="auto"/>
        <w:rPr>
          <w:rFonts w:ascii="Arial" w:hAnsi="Arial" w:cs="Arial"/>
        </w:rPr>
      </w:pPr>
      <w:proofErr w:type="spellStart"/>
      <w:r w:rsidRPr="00715340">
        <w:rPr>
          <w:rFonts w:ascii="Arial" w:hAnsi="Arial" w:cs="Arial"/>
        </w:rPr>
        <w:t>Gennadi</w:t>
      </w:r>
      <w:proofErr w:type="spellEnd"/>
      <w:r w:rsidRPr="00715340">
        <w:rPr>
          <w:rFonts w:ascii="Arial" w:hAnsi="Arial" w:cs="Arial"/>
        </w:rPr>
        <w:t xml:space="preserve"> V. Glinsky</w:t>
      </w:r>
      <w:r>
        <w:rPr>
          <w:rFonts w:ascii="Arial" w:hAnsi="Arial" w:cs="Arial"/>
          <w:vertAlign w:val="superscript"/>
        </w:rPr>
        <w:t>1</w:t>
      </w:r>
    </w:p>
    <w:p w:rsidR="00092EDF" w:rsidRPr="00715340" w:rsidRDefault="00092EDF" w:rsidP="00092EDF">
      <w:pPr>
        <w:autoSpaceDE w:val="0"/>
        <w:autoSpaceDN w:val="0"/>
        <w:adjustRightInd w:val="0"/>
        <w:spacing w:after="0" w:line="480" w:lineRule="auto"/>
        <w:rPr>
          <w:rFonts w:ascii="Arial" w:hAnsi="Arial" w:cs="Arial"/>
        </w:rPr>
      </w:pPr>
      <w:r w:rsidRPr="00BF372D">
        <w:rPr>
          <w:rFonts w:ascii="Arial" w:hAnsi="Arial" w:cs="Arial"/>
          <w:vertAlign w:val="superscript"/>
        </w:rPr>
        <w:t>1</w:t>
      </w:r>
      <w:r w:rsidRPr="00715340">
        <w:rPr>
          <w:rFonts w:ascii="Arial" w:hAnsi="Arial" w:cs="Arial"/>
        </w:rPr>
        <w:t xml:space="preserve"> Institute of Engineering in Medicine</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University of California, San Diego</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9500 Gilman Dr. MC 0435</w:t>
      </w:r>
    </w:p>
    <w:p w:rsidR="00092EDF"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La Jolla, CA 92093-0435, USA</w:t>
      </w:r>
    </w:p>
    <w:p w:rsidR="00CD20E7" w:rsidRPr="00715340" w:rsidRDefault="00092EDF" w:rsidP="00092EDF">
      <w:pPr>
        <w:autoSpaceDE w:val="0"/>
        <w:autoSpaceDN w:val="0"/>
        <w:adjustRightInd w:val="0"/>
        <w:spacing w:after="0" w:line="480" w:lineRule="auto"/>
        <w:rPr>
          <w:rFonts w:ascii="Arial" w:hAnsi="Arial" w:cs="Arial"/>
        </w:rPr>
      </w:pPr>
      <w:r w:rsidRPr="00715340">
        <w:rPr>
          <w:rFonts w:ascii="Arial" w:hAnsi="Arial" w:cs="Arial"/>
        </w:rPr>
        <w:t xml:space="preserve">Correspondence: </w:t>
      </w:r>
      <w:hyperlink r:id="rId7" w:history="1">
        <w:r w:rsidR="00CD20E7" w:rsidRPr="00FE5A95">
          <w:rPr>
            <w:rStyle w:val="Hyperlink"/>
            <w:rFonts w:ascii="Arial" w:hAnsi="Arial" w:cs="Arial"/>
          </w:rPr>
          <w:t>genlighttech@gmail.com</w:t>
        </w:r>
      </w:hyperlink>
      <w:r w:rsidR="00CD20E7">
        <w:rPr>
          <w:rFonts w:ascii="Arial" w:hAnsi="Arial" w:cs="Arial"/>
        </w:rPr>
        <w:t xml:space="preserve"> </w:t>
      </w: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3629C" w:rsidRDefault="0053629C" w:rsidP="0044518F">
      <w:pPr>
        <w:spacing w:line="480" w:lineRule="auto"/>
        <w:rPr>
          <w:rFonts w:ascii="Arial" w:hAnsi="Arial" w:cs="Arial"/>
          <w:b/>
        </w:rPr>
      </w:pPr>
    </w:p>
    <w:p w:rsidR="00565710" w:rsidRPr="00FE6421" w:rsidRDefault="00282085" w:rsidP="00FE6421">
      <w:pPr>
        <w:spacing w:line="360" w:lineRule="auto"/>
        <w:contextualSpacing/>
        <w:rPr>
          <w:rFonts w:ascii="Arial" w:hAnsi="Arial" w:cs="Arial"/>
        </w:rPr>
      </w:pPr>
      <w:r w:rsidRPr="00047FE2">
        <w:rPr>
          <w:rFonts w:ascii="Arial" w:hAnsi="Arial" w:cs="Arial"/>
          <w:b/>
        </w:rPr>
        <w:t>Key words:</w:t>
      </w:r>
      <w:r>
        <w:rPr>
          <w:rFonts w:ascii="Arial" w:hAnsi="Arial" w:cs="Arial"/>
        </w:rPr>
        <w:t xml:space="preserve"> </w:t>
      </w:r>
      <w:r w:rsidRPr="00B17CAA">
        <w:rPr>
          <w:rFonts w:ascii="Arial" w:hAnsi="Arial" w:cs="Arial"/>
        </w:rPr>
        <w:t>human endogenous retrovirus type H (HERVH); human endogenous retroviru</w:t>
      </w:r>
      <w:r>
        <w:rPr>
          <w:rFonts w:ascii="Arial" w:hAnsi="Arial" w:cs="Arial"/>
        </w:rPr>
        <w:t>s type L (HERVL</w:t>
      </w:r>
      <w:r w:rsidR="00DE409E">
        <w:rPr>
          <w:rFonts w:ascii="Arial" w:hAnsi="Arial" w:cs="Arial"/>
        </w:rPr>
        <w:t>); LTR7</w:t>
      </w:r>
      <w:r>
        <w:rPr>
          <w:rFonts w:ascii="Arial" w:hAnsi="Arial" w:cs="Arial"/>
        </w:rPr>
        <w:t>; MLT2A1; MLT2A2</w:t>
      </w:r>
      <w:r w:rsidRPr="00B17CAA">
        <w:rPr>
          <w:rFonts w:ascii="Arial" w:hAnsi="Arial" w:cs="Arial"/>
        </w:rPr>
        <w:t xml:space="preserve">; retrotransposition; primate evolution; </w:t>
      </w:r>
      <w:r>
        <w:rPr>
          <w:rFonts w:ascii="Arial" w:hAnsi="Arial" w:cs="Arial"/>
        </w:rPr>
        <w:t xml:space="preserve">mammalian </w:t>
      </w:r>
      <w:r w:rsidRPr="00B17CAA">
        <w:rPr>
          <w:rFonts w:ascii="Arial" w:hAnsi="Arial" w:cs="Arial"/>
        </w:rPr>
        <w:t xml:space="preserve">offspring survival genes; human embryogenesis; </w:t>
      </w:r>
      <w:r>
        <w:rPr>
          <w:rFonts w:ascii="Arial" w:hAnsi="Arial" w:cs="Arial"/>
        </w:rPr>
        <w:t xml:space="preserve">reduced fertility; infertility; </w:t>
      </w:r>
      <w:r w:rsidRPr="00B17CAA">
        <w:rPr>
          <w:rFonts w:ascii="Arial" w:hAnsi="Arial" w:cs="Arial"/>
        </w:rPr>
        <w:t>synaptic transmission; protein-protein interactions at synapses;</w:t>
      </w:r>
      <w:r>
        <w:rPr>
          <w:rFonts w:ascii="Arial" w:hAnsi="Arial" w:cs="Arial"/>
        </w:rPr>
        <w:t xml:space="preserve"> human endogenous </w:t>
      </w:r>
      <w:proofErr w:type="spellStart"/>
      <w:r>
        <w:rPr>
          <w:rFonts w:ascii="Arial" w:hAnsi="Arial" w:cs="Arial"/>
        </w:rPr>
        <w:t>complexomes</w:t>
      </w:r>
      <w:proofErr w:type="spellEnd"/>
      <w:r>
        <w:rPr>
          <w:rFonts w:ascii="Arial" w:hAnsi="Arial" w:cs="Arial"/>
        </w:rPr>
        <w:t>; viral-host protein-protein interactions; neoplasm metastasis; neurodevelopmental disorders; neurodegenerative diseases; human-specific phenotypic traits; human-specific regulatory sequences.</w:t>
      </w:r>
    </w:p>
    <w:p w:rsidR="00494CAA" w:rsidRPr="00B1036F" w:rsidRDefault="00494CAA" w:rsidP="00A71EB1">
      <w:pPr>
        <w:autoSpaceDE w:val="0"/>
        <w:autoSpaceDN w:val="0"/>
        <w:adjustRightInd w:val="0"/>
        <w:spacing w:after="0" w:line="240" w:lineRule="auto"/>
        <w:rPr>
          <w:rFonts w:ascii="Arial" w:hAnsi="Arial" w:cs="Arial"/>
          <w:b/>
        </w:rPr>
      </w:pPr>
      <w:r w:rsidRPr="00B1036F">
        <w:rPr>
          <w:rFonts w:ascii="Arial" w:hAnsi="Arial" w:cs="Arial"/>
          <w:b/>
        </w:rPr>
        <w:lastRenderedPageBreak/>
        <w:t xml:space="preserve">Characterization of 88 human embryo </w:t>
      </w:r>
      <w:r w:rsidR="002F5992">
        <w:rPr>
          <w:rFonts w:ascii="Arial" w:hAnsi="Arial" w:cs="Arial"/>
          <w:b/>
        </w:rPr>
        <w:t>regulatory LTR</w:t>
      </w:r>
      <w:r w:rsidRPr="00B1036F">
        <w:rPr>
          <w:rFonts w:ascii="Arial" w:hAnsi="Arial" w:cs="Arial"/>
          <w:b/>
        </w:rPr>
        <w:t xml:space="preserve">s comprising putative up-stream regulatory elements of </w:t>
      </w:r>
      <w:r w:rsidR="005466B9" w:rsidRPr="00B1036F">
        <w:rPr>
          <w:rFonts w:ascii="Arial" w:hAnsi="Arial" w:cs="Arial"/>
          <w:b/>
        </w:rPr>
        <w:t>PPI networks of human disease-causing genes.</w:t>
      </w:r>
    </w:p>
    <w:p w:rsidR="00774B99" w:rsidRPr="00B1036F" w:rsidRDefault="0096490B" w:rsidP="00FE6421">
      <w:pPr>
        <w:autoSpaceDE w:val="0"/>
        <w:autoSpaceDN w:val="0"/>
        <w:adjustRightInd w:val="0"/>
        <w:spacing w:after="0" w:line="240" w:lineRule="auto"/>
        <w:ind w:firstLine="720"/>
        <w:rPr>
          <w:rFonts w:ascii="Arial" w:hAnsi="Arial" w:cs="Arial"/>
        </w:rPr>
      </w:pPr>
      <w:r w:rsidRPr="00B1036F">
        <w:rPr>
          <w:rFonts w:ascii="Arial" w:hAnsi="Arial" w:cs="Arial"/>
        </w:rPr>
        <w:t xml:space="preserve">Results of </w:t>
      </w:r>
      <w:r w:rsidR="00F051D9" w:rsidRPr="00B1036F">
        <w:rPr>
          <w:rFonts w:ascii="Arial" w:hAnsi="Arial" w:cs="Arial"/>
        </w:rPr>
        <w:t>the DAG analyse</w:t>
      </w:r>
      <w:r w:rsidR="00741B60" w:rsidRPr="00B1036F">
        <w:rPr>
          <w:rFonts w:ascii="Arial" w:hAnsi="Arial" w:cs="Arial"/>
        </w:rPr>
        <w:t>s</w:t>
      </w:r>
      <w:r w:rsidR="005C1110" w:rsidRPr="00B1036F">
        <w:rPr>
          <w:rFonts w:ascii="Arial" w:hAnsi="Arial" w:cs="Arial"/>
        </w:rPr>
        <w:t xml:space="preserve"> </w:t>
      </w:r>
      <w:r w:rsidR="0081126E">
        <w:rPr>
          <w:rFonts w:ascii="Arial" w:hAnsi="Arial" w:cs="Arial"/>
        </w:rPr>
        <w:t xml:space="preserve">of 88 human embryo </w:t>
      </w:r>
      <w:r w:rsidR="002F5992">
        <w:rPr>
          <w:rFonts w:ascii="Arial" w:hAnsi="Arial" w:cs="Arial"/>
        </w:rPr>
        <w:t>regulatory LTR</w:t>
      </w:r>
      <w:r w:rsidR="0081126E">
        <w:rPr>
          <w:rFonts w:ascii="Arial" w:hAnsi="Arial" w:cs="Arial"/>
        </w:rPr>
        <w:t xml:space="preserve"> elements </w:t>
      </w:r>
      <w:r w:rsidRPr="00B1036F">
        <w:rPr>
          <w:rFonts w:ascii="Arial" w:hAnsi="Arial" w:cs="Arial"/>
        </w:rPr>
        <w:t xml:space="preserve">revealed highly complex hierarchical networks of </w:t>
      </w:r>
      <w:r w:rsidR="00A27E56" w:rsidRPr="00B1036F">
        <w:rPr>
          <w:rFonts w:ascii="Arial" w:hAnsi="Arial" w:cs="Arial"/>
        </w:rPr>
        <w:t xml:space="preserve">significantly enriched </w:t>
      </w:r>
      <w:r w:rsidRPr="00B1036F">
        <w:rPr>
          <w:rFonts w:ascii="Arial" w:hAnsi="Arial" w:cs="Arial"/>
        </w:rPr>
        <w:t xml:space="preserve">phenotypic traits identified by analyses of GO Biological Process and Mouse Phenotype databases, while analyses of GO Cellular Component and </w:t>
      </w:r>
      <w:r w:rsidR="00741B60" w:rsidRPr="00B1036F">
        <w:rPr>
          <w:rFonts w:ascii="Arial" w:hAnsi="Arial" w:cs="Arial"/>
        </w:rPr>
        <w:t xml:space="preserve">GO Molecular Function documented relatively simple architectures of </w:t>
      </w:r>
      <w:r w:rsidR="00291B96" w:rsidRPr="00B1036F">
        <w:rPr>
          <w:rFonts w:ascii="Arial" w:hAnsi="Arial" w:cs="Arial"/>
        </w:rPr>
        <w:t>signific</w:t>
      </w:r>
      <w:r w:rsidR="0081126E">
        <w:rPr>
          <w:rFonts w:ascii="Arial" w:hAnsi="Arial" w:cs="Arial"/>
        </w:rPr>
        <w:t>antly enriched phenotypic trait</w:t>
      </w:r>
      <w:r w:rsidR="00291B96" w:rsidRPr="00B1036F">
        <w:rPr>
          <w:rFonts w:ascii="Arial" w:hAnsi="Arial" w:cs="Arial"/>
        </w:rPr>
        <w:t>s (</w:t>
      </w:r>
      <w:r w:rsidR="00291B96" w:rsidRPr="00B1036F">
        <w:rPr>
          <w:rFonts w:ascii="Arial" w:hAnsi="Arial" w:cs="Arial"/>
          <w:b/>
        </w:rPr>
        <w:t>Figur</w:t>
      </w:r>
      <w:r w:rsidR="00461467">
        <w:rPr>
          <w:rFonts w:ascii="Arial" w:hAnsi="Arial" w:cs="Arial"/>
          <w:b/>
        </w:rPr>
        <w:t>e 4;</w:t>
      </w:r>
      <w:r w:rsidR="00291B96" w:rsidRPr="00B1036F">
        <w:rPr>
          <w:rFonts w:ascii="Arial" w:hAnsi="Arial" w:cs="Arial"/>
          <w:b/>
        </w:rPr>
        <w:t xml:space="preserve"> Supplementary Table S1</w:t>
      </w:r>
      <w:r w:rsidR="00A76902">
        <w:rPr>
          <w:rFonts w:ascii="Arial" w:hAnsi="Arial" w:cs="Arial"/>
          <w:b/>
        </w:rPr>
        <w:t>; Supplementary Data Set S2</w:t>
      </w:r>
      <w:r w:rsidR="00291B96" w:rsidRPr="00B1036F">
        <w:rPr>
          <w:rFonts w:ascii="Arial" w:hAnsi="Arial" w:cs="Arial"/>
        </w:rPr>
        <w:t xml:space="preserve">). Overall, </w:t>
      </w:r>
      <w:r w:rsidR="00A27E56" w:rsidRPr="00B1036F">
        <w:rPr>
          <w:rFonts w:ascii="Arial" w:hAnsi="Arial" w:cs="Arial"/>
        </w:rPr>
        <w:t xml:space="preserve">1533 significantly enriched records linked to down-stream target genes of </w:t>
      </w:r>
      <w:r w:rsidR="00D05864" w:rsidRPr="00B1036F">
        <w:rPr>
          <w:rFonts w:ascii="Arial" w:hAnsi="Arial" w:cs="Arial"/>
        </w:rPr>
        <w:t xml:space="preserve">88 </w:t>
      </w:r>
      <w:r w:rsidR="002F5992">
        <w:rPr>
          <w:rFonts w:ascii="Arial" w:hAnsi="Arial" w:cs="Arial"/>
        </w:rPr>
        <w:t>regulatory LTR</w:t>
      </w:r>
      <w:r w:rsidR="00D05864" w:rsidRPr="00B1036F">
        <w:rPr>
          <w:rFonts w:ascii="Arial" w:hAnsi="Arial" w:cs="Arial"/>
        </w:rPr>
        <w:t xml:space="preserve"> elements have been identified </w:t>
      </w:r>
      <w:r w:rsidR="00A27E56" w:rsidRPr="00B1036F">
        <w:rPr>
          <w:rFonts w:ascii="Arial" w:hAnsi="Arial" w:cs="Arial"/>
        </w:rPr>
        <w:t>at the statistical threshold of the Binominal FDR Q-value &lt; 0.001. These include</w:t>
      </w:r>
      <w:r w:rsidR="00377A81" w:rsidRPr="00B1036F">
        <w:rPr>
          <w:rFonts w:ascii="Arial" w:hAnsi="Arial" w:cs="Arial"/>
        </w:rPr>
        <w:t xml:space="preserve"> 432; 36; 42; 58; 243; and 722 significantly enriched</w:t>
      </w:r>
      <w:r w:rsidR="00A27E56" w:rsidRPr="00B1036F">
        <w:rPr>
          <w:rFonts w:ascii="Arial" w:hAnsi="Arial" w:cs="Arial"/>
        </w:rPr>
        <w:t xml:space="preserve"> phenotypic trait</w:t>
      </w:r>
      <w:r w:rsidR="00377A81" w:rsidRPr="00B1036F">
        <w:rPr>
          <w:rFonts w:ascii="Arial" w:hAnsi="Arial" w:cs="Arial"/>
        </w:rPr>
        <w:t>s identified by Gene Ontology analyses of GO Biological Process; GO Cellular Component; GO Molecular Function; Human Phenotype; Mouse Phenotype Single KO; and Mouse Phenotype databases, respectively</w:t>
      </w:r>
      <w:r w:rsidR="00CE0B6D">
        <w:rPr>
          <w:rFonts w:ascii="Arial" w:hAnsi="Arial" w:cs="Arial"/>
        </w:rPr>
        <w:t xml:space="preserve"> (</w:t>
      </w:r>
      <w:r w:rsidR="00CE0B6D" w:rsidRPr="00CE0B6D">
        <w:rPr>
          <w:rFonts w:ascii="Arial" w:hAnsi="Arial" w:cs="Arial"/>
          <w:b/>
        </w:rPr>
        <w:t>Supplementary Data Set S2</w:t>
      </w:r>
      <w:r w:rsidR="00CE0B6D">
        <w:rPr>
          <w:rFonts w:ascii="Arial" w:hAnsi="Arial" w:cs="Arial"/>
        </w:rPr>
        <w:t>)</w:t>
      </w:r>
      <w:r w:rsidR="00377A81" w:rsidRPr="00B1036F">
        <w:rPr>
          <w:rFonts w:ascii="Arial" w:hAnsi="Arial" w:cs="Arial"/>
        </w:rPr>
        <w:t xml:space="preserve">. </w:t>
      </w:r>
    </w:p>
    <w:p w:rsidR="003F61D4" w:rsidRPr="00B1036F" w:rsidRDefault="003F61D4" w:rsidP="00A71EB1">
      <w:pPr>
        <w:autoSpaceDE w:val="0"/>
        <w:autoSpaceDN w:val="0"/>
        <w:adjustRightInd w:val="0"/>
        <w:spacing w:after="0" w:line="240" w:lineRule="auto"/>
        <w:ind w:firstLine="720"/>
        <w:rPr>
          <w:rFonts w:ascii="Arial" w:hAnsi="Arial" w:cs="Arial"/>
        </w:rPr>
      </w:pPr>
      <w:r w:rsidRPr="00B1036F">
        <w:rPr>
          <w:rFonts w:ascii="Arial" w:hAnsi="Arial" w:cs="Arial"/>
        </w:rPr>
        <w:t xml:space="preserve">Of note, GO enrichment analyses of </w:t>
      </w:r>
      <w:r w:rsidR="00774B99" w:rsidRPr="00B1036F">
        <w:rPr>
          <w:rFonts w:ascii="Arial" w:hAnsi="Arial" w:cs="Arial"/>
        </w:rPr>
        <w:t xml:space="preserve">88 </w:t>
      </w:r>
      <w:r w:rsidR="002F5992">
        <w:rPr>
          <w:rFonts w:ascii="Arial" w:hAnsi="Arial" w:cs="Arial"/>
        </w:rPr>
        <w:t>regulatory LTR</w:t>
      </w:r>
      <w:r w:rsidR="00494CAA" w:rsidRPr="00B1036F">
        <w:rPr>
          <w:rFonts w:ascii="Arial" w:hAnsi="Arial" w:cs="Arial"/>
        </w:rPr>
        <w:t xml:space="preserve"> element</w:t>
      </w:r>
      <w:r w:rsidR="00774B99" w:rsidRPr="00B1036F">
        <w:rPr>
          <w:rFonts w:ascii="Arial" w:hAnsi="Arial" w:cs="Arial"/>
        </w:rPr>
        <w:t xml:space="preserve">s employing </w:t>
      </w:r>
      <w:r w:rsidRPr="00B1036F">
        <w:rPr>
          <w:rFonts w:ascii="Arial" w:hAnsi="Arial" w:cs="Arial"/>
        </w:rPr>
        <w:t xml:space="preserve">the Mouse Phenotype Single KO database identified numerous significantly records of genes </w:t>
      </w:r>
      <w:r w:rsidR="00494CAA" w:rsidRPr="00B1036F">
        <w:rPr>
          <w:rFonts w:ascii="Arial" w:hAnsi="Arial" w:cs="Arial"/>
        </w:rPr>
        <w:t>annotated to</w:t>
      </w:r>
      <w:r w:rsidR="00774B99" w:rsidRPr="00B1036F">
        <w:rPr>
          <w:rFonts w:ascii="Arial" w:hAnsi="Arial" w:cs="Arial"/>
        </w:rPr>
        <w:t xml:space="preserve"> distinct</w:t>
      </w:r>
      <w:r w:rsidR="00494CAA" w:rsidRPr="00B1036F">
        <w:rPr>
          <w:rFonts w:ascii="Arial" w:hAnsi="Arial" w:cs="Arial"/>
        </w:rPr>
        <w:t xml:space="preserve"> mammalian offspring’s survival</w:t>
      </w:r>
      <w:r w:rsidR="00774B99" w:rsidRPr="00B1036F">
        <w:rPr>
          <w:rFonts w:ascii="Arial" w:hAnsi="Arial" w:cs="Arial"/>
        </w:rPr>
        <w:t xml:space="preserve"> </w:t>
      </w:r>
      <w:r w:rsidR="00494CAA" w:rsidRPr="00B1036F">
        <w:rPr>
          <w:rFonts w:ascii="Arial" w:hAnsi="Arial" w:cs="Arial"/>
        </w:rPr>
        <w:t>(</w:t>
      </w:r>
      <w:r w:rsidR="00774B99" w:rsidRPr="00B1036F">
        <w:rPr>
          <w:rFonts w:ascii="Arial" w:hAnsi="Arial" w:cs="Arial"/>
        </w:rPr>
        <w:t>MOS</w:t>
      </w:r>
      <w:r w:rsidR="00494CAA" w:rsidRPr="00B1036F">
        <w:rPr>
          <w:rFonts w:ascii="Arial" w:hAnsi="Arial" w:cs="Arial"/>
        </w:rPr>
        <w:t>)</w:t>
      </w:r>
      <w:r w:rsidR="00774B99" w:rsidRPr="00B1036F">
        <w:rPr>
          <w:rFonts w:ascii="Arial" w:hAnsi="Arial" w:cs="Arial"/>
        </w:rPr>
        <w:t xml:space="preserve"> phenotypes. Th</w:t>
      </w:r>
      <w:r w:rsidR="00494CAA" w:rsidRPr="00B1036F">
        <w:rPr>
          <w:rFonts w:ascii="Arial" w:hAnsi="Arial" w:cs="Arial"/>
        </w:rPr>
        <w:t>e list of enriched GO terms of this category</w:t>
      </w:r>
      <w:r w:rsidR="00774B99" w:rsidRPr="00B1036F">
        <w:rPr>
          <w:rFonts w:ascii="Arial" w:hAnsi="Arial" w:cs="Arial"/>
        </w:rPr>
        <w:t xml:space="preserve"> include</w:t>
      </w:r>
      <w:r w:rsidR="00494CAA" w:rsidRPr="00B1036F">
        <w:rPr>
          <w:rFonts w:ascii="Arial" w:hAnsi="Arial" w:cs="Arial"/>
        </w:rPr>
        <w:t>s</w:t>
      </w:r>
      <w:r w:rsidR="00774B99" w:rsidRPr="00B1036F">
        <w:rPr>
          <w:rFonts w:ascii="Arial" w:hAnsi="Arial" w:cs="Arial"/>
        </w:rPr>
        <w:t xml:space="preserve"> several prenatal and perinatal lethality phenotypes [</w:t>
      </w:r>
      <w:r w:rsidRPr="00B1036F">
        <w:rPr>
          <w:rFonts w:ascii="Arial" w:hAnsi="Arial" w:cs="Arial"/>
        </w:rPr>
        <w:t>perinatal lethality (</w:t>
      </w:r>
      <w:r w:rsidRPr="00B1036F">
        <w:rPr>
          <w:rFonts w:ascii="Arial" w:eastAsia="Times New Roman" w:hAnsi="Arial" w:cs="Arial"/>
          <w:color w:val="000000"/>
        </w:rPr>
        <w:t>MP:0002081)</w:t>
      </w:r>
      <w:r w:rsidRPr="00B1036F">
        <w:rPr>
          <w:rFonts w:ascii="Arial" w:hAnsi="Arial" w:cs="Arial"/>
        </w:rPr>
        <w:t>; perinatal lethality, complete penetrance (</w:t>
      </w:r>
      <w:r w:rsidR="00774B99" w:rsidRPr="00B1036F">
        <w:rPr>
          <w:rFonts w:ascii="Arial" w:eastAsia="Times New Roman" w:hAnsi="Arial" w:cs="Arial"/>
          <w:color w:val="000000"/>
        </w:rPr>
        <w:t>MP:0011089)</w:t>
      </w:r>
      <w:r w:rsidRPr="00B1036F">
        <w:rPr>
          <w:rFonts w:ascii="Arial" w:hAnsi="Arial" w:cs="Arial"/>
        </w:rPr>
        <w:t>; perinatal lethality, incomplete penetrance</w:t>
      </w:r>
      <w:r w:rsidR="00774B99" w:rsidRPr="00B1036F">
        <w:rPr>
          <w:rFonts w:ascii="Arial" w:hAnsi="Arial" w:cs="Arial"/>
        </w:rPr>
        <w:t xml:space="preserve"> (</w:t>
      </w:r>
      <w:r w:rsidR="00774B99" w:rsidRPr="00B1036F">
        <w:rPr>
          <w:rFonts w:ascii="Arial" w:eastAsia="Times New Roman" w:hAnsi="Arial" w:cs="Arial"/>
          <w:color w:val="000000"/>
        </w:rPr>
        <w:t>MP:0011090)</w:t>
      </w:r>
      <w:r w:rsidRPr="00B1036F">
        <w:rPr>
          <w:rFonts w:ascii="Arial" w:hAnsi="Arial" w:cs="Arial"/>
        </w:rPr>
        <w:t>; prenatal</w:t>
      </w:r>
      <w:r w:rsidR="00774B99" w:rsidRPr="00B1036F">
        <w:rPr>
          <w:rFonts w:ascii="Arial" w:hAnsi="Arial" w:cs="Arial"/>
        </w:rPr>
        <w:t xml:space="preserve"> </w:t>
      </w:r>
      <w:r w:rsidRPr="00B1036F">
        <w:rPr>
          <w:rFonts w:ascii="Arial" w:hAnsi="Arial" w:cs="Arial"/>
        </w:rPr>
        <w:t>lethality, complete penetrance</w:t>
      </w:r>
      <w:r w:rsidR="00774B99" w:rsidRPr="00B1036F">
        <w:rPr>
          <w:rFonts w:ascii="Arial" w:hAnsi="Arial" w:cs="Arial"/>
        </w:rPr>
        <w:t xml:space="preserve"> (</w:t>
      </w:r>
      <w:r w:rsidR="00774B99" w:rsidRPr="00B1036F">
        <w:rPr>
          <w:rFonts w:ascii="Arial" w:eastAsia="Times New Roman" w:hAnsi="Arial" w:cs="Arial"/>
          <w:color w:val="000000"/>
        </w:rPr>
        <w:t>MP:0011091)</w:t>
      </w:r>
      <w:r w:rsidRPr="00B1036F">
        <w:rPr>
          <w:rFonts w:ascii="Arial" w:hAnsi="Arial" w:cs="Arial"/>
        </w:rPr>
        <w:t>; prenatal lethality, incomplete penetrance</w:t>
      </w:r>
      <w:r w:rsidR="00774B99" w:rsidRPr="00B1036F">
        <w:rPr>
          <w:rFonts w:ascii="Arial" w:hAnsi="Arial" w:cs="Arial"/>
        </w:rPr>
        <w:t xml:space="preserve"> (</w:t>
      </w:r>
      <w:r w:rsidR="00774B99" w:rsidRPr="00B1036F">
        <w:rPr>
          <w:rFonts w:ascii="Arial" w:eastAsia="Times New Roman" w:hAnsi="Arial" w:cs="Arial"/>
          <w:color w:val="000000"/>
        </w:rPr>
        <w:t>MP:0011101)]</w:t>
      </w:r>
      <w:r w:rsidRPr="00B1036F">
        <w:rPr>
          <w:rFonts w:ascii="Arial" w:hAnsi="Arial" w:cs="Arial"/>
        </w:rPr>
        <w:t>;</w:t>
      </w:r>
      <w:r w:rsidR="00774B99" w:rsidRPr="00B1036F">
        <w:rPr>
          <w:rFonts w:ascii="Arial" w:hAnsi="Arial" w:cs="Arial"/>
        </w:rPr>
        <w:t xml:space="preserve"> distinct embryonic lethality phenotypes [</w:t>
      </w:r>
      <w:r w:rsidRPr="00B1036F">
        <w:rPr>
          <w:rFonts w:ascii="Arial" w:hAnsi="Arial" w:cs="Arial"/>
        </w:rPr>
        <w:t>embryonic lethality, complete penetrance</w:t>
      </w:r>
      <w:r w:rsidR="00774B99" w:rsidRPr="00B1036F">
        <w:rPr>
          <w:rFonts w:ascii="Arial" w:hAnsi="Arial" w:cs="Arial"/>
        </w:rPr>
        <w:t xml:space="preserve"> (</w:t>
      </w:r>
      <w:r w:rsidR="00774B99" w:rsidRPr="00B1036F">
        <w:rPr>
          <w:rFonts w:ascii="Arial" w:eastAsia="Times New Roman" w:hAnsi="Arial" w:cs="Arial"/>
          <w:color w:val="000000"/>
        </w:rPr>
        <w:t>MP:0011092)</w:t>
      </w:r>
      <w:r w:rsidRPr="00B1036F">
        <w:rPr>
          <w:rFonts w:ascii="Arial" w:hAnsi="Arial" w:cs="Arial"/>
        </w:rPr>
        <w:t>; embryonic lethality between implantation and somite formation</w:t>
      </w:r>
      <w:r w:rsidR="00774B99" w:rsidRPr="00B1036F">
        <w:rPr>
          <w:rFonts w:ascii="Arial" w:hAnsi="Arial" w:cs="Arial"/>
        </w:rPr>
        <w:t xml:space="preserve"> (</w:t>
      </w:r>
      <w:r w:rsidR="00774B99" w:rsidRPr="00B1036F">
        <w:rPr>
          <w:rFonts w:ascii="Arial" w:eastAsia="Times New Roman" w:hAnsi="Arial" w:cs="Arial"/>
          <w:color w:val="000000"/>
        </w:rPr>
        <w:t>MP:0006205)</w:t>
      </w:r>
      <w:r w:rsidRPr="00B1036F">
        <w:rPr>
          <w:rFonts w:ascii="Arial" w:hAnsi="Arial" w:cs="Arial"/>
        </w:rPr>
        <w:t>; embryonic lethality during organogenesis</w:t>
      </w:r>
      <w:r w:rsidR="00774B99" w:rsidRPr="00B1036F">
        <w:rPr>
          <w:rFonts w:ascii="Arial" w:hAnsi="Arial" w:cs="Arial"/>
        </w:rPr>
        <w:t xml:space="preserve"> </w:t>
      </w:r>
      <w:r w:rsidR="00774B99" w:rsidRPr="00B1036F">
        <w:rPr>
          <w:rFonts w:ascii="Arial" w:eastAsia="Times New Roman" w:hAnsi="Arial" w:cs="Arial"/>
          <w:color w:val="000000"/>
        </w:rPr>
        <w:t>MP:0006207)</w:t>
      </w:r>
      <w:r w:rsidRPr="00B1036F">
        <w:rPr>
          <w:rFonts w:ascii="Arial" w:hAnsi="Arial" w:cs="Arial"/>
        </w:rPr>
        <w:t>; embryonic lethality between implantation and placentation</w:t>
      </w:r>
      <w:r w:rsidR="00774B99" w:rsidRPr="00B1036F">
        <w:rPr>
          <w:rFonts w:ascii="Arial" w:hAnsi="Arial" w:cs="Arial"/>
        </w:rPr>
        <w:t xml:space="preserve"> (</w:t>
      </w:r>
      <w:r w:rsidR="00774B99" w:rsidRPr="00B1036F">
        <w:rPr>
          <w:rFonts w:ascii="Arial" w:eastAsia="Times New Roman" w:hAnsi="Arial" w:cs="Arial"/>
          <w:color w:val="000000"/>
        </w:rPr>
        <w:t>MP:0009850)</w:t>
      </w:r>
      <w:r w:rsidRPr="00B1036F">
        <w:rPr>
          <w:rFonts w:ascii="Arial" w:hAnsi="Arial" w:cs="Arial"/>
        </w:rPr>
        <w:t xml:space="preserve">; </w:t>
      </w:r>
      <w:r w:rsidR="00774B99" w:rsidRPr="00B1036F">
        <w:rPr>
          <w:rFonts w:ascii="Arial" w:hAnsi="Arial" w:cs="Arial"/>
        </w:rPr>
        <w:t>and the</w:t>
      </w:r>
      <w:r w:rsidRPr="00B1036F">
        <w:rPr>
          <w:rFonts w:ascii="Arial" w:hAnsi="Arial" w:cs="Arial"/>
        </w:rPr>
        <w:t xml:space="preserve"> premature death</w:t>
      </w:r>
      <w:r w:rsidR="00774B99" w:rsidRPr="00B1036F">
        <w:rPr>
          <w:rFonts w:ascii="Arial" w:hAnsi="Arial" w:cs="Arial"/>
        </w:rPr>
        <w:t xml:space="preserve"> phenotype (</w:t>
      </w:r>
      <w:r w:rsidR="00774B99" w:rsidRPr="00B1036F">
        <w:rPr>
          <w:rFonts w:ascii="Arial" w:eastAsia="Times New Roman" w:hAnsi="Arial" w:cs="Arial"/>
          <w:color w:val="000000"/>
        </w:rPr>
        <w:t xml:space="preserve">MP:0002083). </w:t>
      </w:r>
    </w:p>
    <w:p w:rsidR="005F25BE" w:rsidRDefault="001D7695" w:rsidP="00A71EB1">
      <w:pPr>
        <w:autoSpaceDE w:val="0"/>
        <w:autoSpaceDN w:val="0"/>
        <w:adjustRightInd w:val="0"/>
        <w:spacing w:after="0" w:line="240" w:lineRule="auto"/>
        <w:ind w:firstLine="720"/>
        <w:rPr>
          <w:rFonts w:ascii="Arial" w:hAnsi="Arial" w:cs="Arial"/>
        </w:rPr>
      </w:pPr>
      <w:r>
        <w:rPr>
          <w:rFonts w:ascii="Arial" w:hAnsi="Arial" w:cs="Arial"/>
        </w:rPr>
        <w:t xml:space="preserve">GSEA of 34 genes </w:t>
      </w:r>
      <w:r w:rsidR="002D0B2B">
        <w:rPr>
          <w:rFonts w:ascii="Arial" w:hAnsi="Arial" w:cs="Arial"/>
        </w:rPr>
        <w:t>identified hundreds of</w:t>
      </w:r>
      <w:r>
        <w:rPr>
          <w:rFonts w:ascii="Arial" w:hAnsi="Arial" w:cs="Arial"/>
        </w:rPr>
        <w:t xml:space="preserve"> significantly enriched p</w:t>
      </w:r>
      <w:r w:rsidR="00DF7525">
        <w:rPr>
          <w:rFonts w:ascii="Arial" w:hAnsi="Arial" w:cs="Arial"/>
        </w:rPr>
        <w:t>henotypic traits across numerous genomics and proteomics databases</w:t>
      </w:r>
      <w:r w:rsidR="005501F5">
        <w:rPr>
          <w:rFonts w:ascii="Arial" w:hAnsi="Arial" w:cs="Arial"/>
        </w:rPr>
        <w:t>,</w:t>
      </w:r>
      <w:r w:rsidR="00DF7525">
        <w:rPr>
          <w:rFonts w:ascii="Arial" w:hAnsi="Arial" w:cs="Arial"/>
        </w:rPr>
        <w:t xml:space="preserve"> </w:t>
      </w:r>
      <w:r w:rsidR="008F32BC">
        <w:rPr>
          <w:rFonts w:ascii="Arial" w:hAnsi="Arial" w:cs="Arial"/>
        </w:rPr>
        <w:t xml:space="preserve">representative examples of which are reported in the </w:t>
      </w:r>
      <w:r w:rsidR="008F32BC" w:rsidRPr="008F32BC">
        <w:rPr>
          <w:rFonts w:ascii="Arial" w:hAnsi="Arial" w:cs="Arial"/>
          <w:b/>
        </w:rPr>
        <w:t xml:space="preserve">Figure </w:t>
      </w:r>
      <w:r w:rsidR="00461467">
        <w:rPr>
          <w:rFonts w:ascii="Arial" w:hAnsi="Arial" w:cs="Arial"/>
          <w:b/>
        </w:rPr>
        <w:t>5</w:t>
      </w:r>
      <w:r w:rsidR="00F544F8">
        <w:rPr>
          <w:rFonts w:ascii="Arial" w:hAnsi="Arial" w:cs="Arial"/>
          <w:b/>
        </w:rPr>
        <w:t xml:space="preserve">; Supplementary Figure S1; </w:t>
      </w:r>
      <w:r w:rsidR="008F32BC" w:rsidRPr="008F32BC">
        <w:rPr>
          <w:rFonts w:ascii="Arial" w:hAnsi="Arial" w:cs="Arial"/>
          <w:b/>
        </w:rPr>
        <w:t>Supplementary Table S1</w:t>
      </w:r>
      <w:r w:rsidR="008F32BC">
        <w:rPr>
          <w:rFonts w:ascii="Arial" w:hAnsi="Arial" w:cs="Arial"/>
        </w:rPr>
        <w:t xml:space="preserve">. </w:t>
      </w:r>
      <w:r w:rsidR="00FF2C7C">
        <w:rPr>
          <w:rFonts w:ascii="Arial" w:hAnsi="Arial" w:cs="Arial"/>
        </w:rPr>
        <w:t>In multiple instances numbers of significantly enriched phenotypic records linked with 34 genes are markedly higher compared to the parent set of 5444 genes (</w:t>
      </w:r>
      <w:r w:rsidR="00FF2C7C" w:rsidRPr="008F32BC">
        <w:rPr>
          <w:rFonts w:ascii="Arial" w:hAnsi="Arial" w:cs="Arial"/>
          <w:b/>
        </w:rPr>
        <w:t xml:space="preserve">Figure </w:t>
      </w:r>
      <w:r w:rsidR="00461467">
        <w:rPr>
          <w:rFonts w:ascii="Arial" w:hAnsi="Arial" w:cs="Arial"/>
          <w:b/>
        </w:rPr>
        <w:t>5</w:t>
      </w:r>
      <w:r w:rsidR="00FF2C7C">
        <w:rPr>
          <w:rFonts w:ascii="Arial" w:hAnsi="Arial" w:cs="Arial"/>
          <w:b/>
        </w:rPr>
        <w:t xml:space="preserve">B; Supplementary Figure S1; </w:t>
      </w:r>
      <w:r w:rsidR="00FF2C7C" w:rsidRPr="008F32BC">
        <w:rPr>
          <w:rFonts w:ascii="Arial" w:hAnsi="Arial" w:cs="Arial"/>
          <w:b/>
        </w:rPr>
        <w:t>Supplementary Table S1</w:t>
      </w:r>
      <w:r w:rsidR="00FF2C7C">
        <w:rPr>
          <w:rFonts w:ascii="Arial" w:hAnsi="Arial" w:cs="Arial"/>
          <w:b/>
        </w:rPr>
        <w:t>)</w:t>
      </w:r>
      <w:r w:rsidR="00FF2C7C" w:rsidRPr="00FF2C7C">
        <w:rPr>
          <w:rFonts w:ascii="Arial" w:hAnsi="Arial" w:cs="Arial"/>
        </w:rPr>
        <w:t xml:space="preserve">. </w:t>
      </w:r>
      <w:r w:rsidR="00FF2C7C">
        <w:rPr>
          <w:rFonts w:ascii="Arial" w:hAnsi="Arial" w:cs="Arial"/>
        </w:rPr>
        <w:t xml:space="preserve">For example, there are 121 and 124 significantly enriched records </w:t>
      </w:r>
      <w:r w:rsidR="005F25BE">
        <w:rPr>
          <w:rFonts w:ascii="Arial" w:hAnsi="Arial" w:cs="Arial"/>
        </w:rPr>
        <w:t>of 34 genes identified by GSEA of the Transcription Factors PPI database and the Hub Proteins PPI database, respectively, while there is only one significantly enriched record in each database identified by GSEA of 5444 genes (</w:t>
      </w:r>
      <w:r w:rsidR="00461467">
        <w:rPr>
          <w:rFonts w:ascii="Arial" w:hAnsi="Arial" w:cs="Arial"/>
          <w:b/>
        </w:rPr>
        <w:t>Figure 5</w:t>
      </w:r>
      <w:r w:rsidR="005F25BE" w:rsidRPr="005F25BE">
        <w:rPr>
          <w:rFonts w:ascii="Arial" w:hAnsi="Arial" w:cs="Arial"/>
          <w:b/>
        </w:rPr>
        <w:t>B</w:t>
      </w:r>
      <w:r w:rsidR="005F25BE">
        <w:rPr>
          <w:rFonts w:ascii="Arial" w:hAnsi="Arial" w:cs="Arial"/>
        </w:rPr>
        <w:t xml:space="preserve">). Similarly, there are 1387 and 477 significantly enriched records of human diseases identified by GSEA of 34 genes and 5444 genes, respectively, employing the </w:t>
      </w:r>
      <w:proofErr w:type="spellStart"/>
      <w:r w:rsidR="005F25BE">
        <w:rPr>
          <w:rFonts w:ascii="Arial" w:hAnsi="Arial" w:cs="Arial"/>
        </w:rPr>
        <w:t>DisGeNET</w:t>
      </w:r>
      <w:proofErr w:type="spellEnd"/>
      <w:r w:rsidR="005F25BE">
        <w:rPr>
          <w:rFonts w:ascii="Arial" w:hAnsi="Arial" w:cs="Arial"/>
        </w:rPr>
        <w:t xml:space="preserve"> database (</w:t>
      </w:r>
      <w:r w:rsidR="005F25BE">
        <w:rPr>
          <w:rFonts w:ascii="Arial" w:hAnsi="Arial" w:cs="Arial"/>
          <w:b/>
        </w:rPr>
        <w:t xml:space="preserve">Supplementary Figure S1; </w:t>
      </w:r>
      <w:r w:rsidR="005F25BE" w:rsidRPr="008F32BC">
        <w:rPr>
          <w:rFonts w:ascii="Arial" w:hAnsi="Arial" w:cs="Arial"/>
          <w:b/>
        </w:rPr>
        <w:t>Supplementary Table S1</w:t>
      </w:r>
      <w:r w:rsidR="005F25BE">
        <w:rPr>
          <w:rFonts w:ascii="Arial" w:hAnsi="Arial" w:cs="Arial"/>
          <w:b/>
        </w:rPr>
        <w:t>)</w:t>
      </w:r>
      <w:r w:rsidR="005F25BE" w:rsidRPr="00FF2C7C">
        <w:rPr>
          <w:rFonts w:ascii="Arial" w:hAnsi="Arial" w:cs="Arial"/>
        </w:rPr>
        <w:t>.</w:t>
      </w:r>
      <w:r w:rsidR="005F25BE">
        <w:rPr>
          <w:rFonts w:ascii="Arial" w:hAnsi="Arial" w:cs="Arial"/>
        </w:rPr>
        <w:t xml:space="preserve"> </w:t>
      </w:r>
      <w:r w:rsidR="00765CCE">
        <w:rPr>
          <w:rFonts w:ascii="Arial" w:hAnsi="Arial" w:cs="Arial"/>
        </w:rPr>
        <w:t>Apparent qualitative distinctions were noted between top 10 sig</w:t>
      </w:r>
      <w:r w:rsidR="005F25BE">
        <w:rPr>
          <w:rFonts w:ascii="Arial" w:hAnsi="Arial" w:cs="Arial"/>
        </w:rPr>
        <w:t>n</w:t>
      </w:r>
      <w:r w:rsidR="00765CCE">
        <w:rPr>
          <w:rFonts w:ascii="Arial" w:hAnsi="Arial" w:cs="Arial"/>
        </w:rPr>
        <w:t xml:space="preserve">ificantly enriched </w:t>
      </w:r>
      <w:r w:rsidR="0081126E">
        <w:rPr>
          <w:rFonts w:ascii="Arial" w:hAnsi="Arial" w:cs="Arial"/>
        </w:rPr>
        <w:t xml:space="preserve">records </w:t>
      </w:r>
      <w:r w:rsidR="00765CCE">
        <w:rPr>
          <w:rFonts w:ascii="Arial" w:hAnsi="Arial" w:cs="Arial"/>
        </w:rPr>
        <w:t>of human diseas</w:t>
      </w:r>
      <w:r w:rsidR="005501F5">
        <w:rPr>
          <w:rFonts w:ascii="Arial" w:hAnsi="Arial" w:cs="Arial"/>
        </w:rPr>
        <w:t>es: all top 10 GSEA records</w:t>
      </w:r>
      <w:r w:rsidR="00765CCE">
        <w:rPr>
          <w:rFonts w:ascii="Arial" w:hAnsi="Arial" w:cs="Arial"/>
        </w:rPr>
        <w:t xml:space="preserve"> of 34 genes</w:t>
      </w:r>
      <w:r w:rsidR="005501F5">
        <w:rPr>
          <w:rFonts w:ascii="Arial" w:hAnsi="Arial" w:cs="Arial"/>
        </w:rPr>
        <w:t>’ enrichment</w:t>
      </w:r>
      <w:r w:rsidR="00765CCE">
        <w:rPr>
          <w:rFonts w:ascii="Arial" w:hAnsi="Arial" w:cs="Arial"/>
        </w:rPr>
        <w:t xml:space="preserve"> were various records of malignant neoplasms, while top 10 records linked with GSEA of 5444 genes were neurodevelopmental and substance abuse disorders (</w:t>
      </w:r>
      <w:r w:rsidR="00765CCE">
        <w:rPr>
          <w:rFonts w:ascii="Arial" w:hAnsi="Arial" w:cs="Arial"/>
          <w:b/>
        </w:rPr>
        <w:t xml:space="preserve">Supplementary Figure S1; </w:t>
      </w:r>
      <w:r w:rsidR="00765CCE" w:rsidRPr="008F32BC">
        <w:rPr>
          <w:rFonts w:ascii="Arial" w:hAnsi="Arial" w:cs="Arial"/>
          <w:b/>
        </w:rPr>
        <w:t>Supplementary Table S1</w:t>
      </w:r>
      <w:r w:rsidR="00765CCE">
        <w:rPr>
          <w:rFonts w:ascii="Arial" w:hAnsi="Arial" w:cs="Arial"/>
          <w:b/>
        </w:rPr>
        <w:t>)</w:t>
      </w:r>
      <w:r w:rsidR="00765CCE" w:rsidRPr="00FF2C7C">
        <w:rPr>
          <w:rFonts w:ascii="Arial" w:hAnsi="Arial" w:cs="Arial"/>
        </w:rPr>
        <w:t>.</w:t>
      </w:r>
      <w:r w:rsidR="00765CCE">
        <w:rPr>
          <w:rFonts w:ascii="Arial" w:hAnsi="Arial" w:cs="Arial"/>
        </w:rPr>
        <w:t xml:space="preserve"> </w:t>
      </w:r>
      <w:r w:rsidR="005F25BE">
        <w:rPr>
          <w:rFonts w:ascii="Arial" w:hAnsi="Arial" w:cs="Arial"/>
        </w:rPr>
        <w:t xml:space="preserve"> </w:t>
      </w:r>
      <w:r w:rsidR="00765CCE">
        <w:rPr>
          <w:rFonts w:ascii="Arial" w:hAnsi="Arial" w:cs="Arial"/>
        </w:rPr>
        <w:t xml:space="preserve">In </w:t>
      </w:r>
      <w:r w:rsidR="005F25BE">
        <w:rPr>
          <w:rFonts w:ascii="Arial" w:hAnsi="Arial" w:cs="Arial"/>
        </w:rPr>
        <w:t>contrast</w:t>
      </w:r>
      <w:r w:rsidR="00765CCE">
        <w:rPr>
          <w:rFonts w:ascii="Arial" w:hAnsi="Arial" w:cs="Arial"/>
        </w:rPr>
        <w:t xml:space="preserve"> to common human diseases, </w:t>
      </w:r>
      <w:r w:rsidR="00C86528">
        <w:rPr>
          <w:rFonts w:ascii="Arial" w:hAnsi="Arial" w:cs="Arial"/>
        </w:rPr>
        <w:t>78</w:t>
      </w:r>
      <w:r w:rsidR="005F25BE">
        <w:rPr>
          <w:rFonts w:ascii="Arial" w:hAnsi="Arial" w:cs="Arial"/>
        </w:rPr>
        <w:t xml:space="preserve"> </w:t>
      </w:r>
      <w:r w:rsidR="00C86528">
        <w:rPr>
          <w:rFonts w:ascii="Arial" w:hAnsi="Arial" w:cs="Arial"/>
        </w:rPr>
        <w:t>and 1095</w:t>
      </w:r>
      <w:r w:rsidR="005F25BE">
        <w:rPr>
          <w:rFonts w:ascii="Arial" w:hAnsi="Arial" w:cs="Arial"/>
        </w:rPr>
        <w:t xml:space="preserve"> significantly enriched records of human </w:t>
      </w:r>
      <w:r w:rsidR="00C86528">
        <w:rPr>
          <w:rFonts w:ascii="Arial" w:hAnsi="Arial" w:cs="Arial"/>
        </w:rPr>
        <w:t>orphan disorder</w:t>
      </w:r>
      <w:r w:rsidR="005F25BE">
        <w:rPr>
          <w:rFonts w:ascii="Arial" w:hAnsi="Arial" w:cs="Arial"/>
        </w:rPr>
        <w:t>s</w:t>
      </w:r>
      <w:r w:rsidR="00765CCE">
        <w:rPr>
          <w:rFonts w:ascii="Arial" w:hAnsi="Arial" w:cs="Arial"/>
        </w:rPr>
        <w:t xml:space="preserve"> have been</w:t>
      </w:r>
      <w:r w:rsidR="005F25BE">
        <w:rPr>
          <w:rFonts w:ascii="Arial" w:hAnsi="Arial" w:cs="Arial"/>
        </w:rPr>
        <w:t xml:space="preserve"> identified by GSEA of 34 genes and 5444 genes, respectively,</w:t>
      </w:r>
      <w:r w:rsidR="00C86528">
        <w:rPr>
          <w:rFonts w:ascii="Arial" w:hAnsi="Arial" w:cs="Arial"/>
        </w:rPr>
        <w:t xml:space="preserve"> employing the </w:t>
      </w:r>
      <w:proofErr w:type="spellStart"/>
      <w:r w:rsidR="00C86528">
        <w:rPr>
          <w:rFonts w:ascii="Arial" w:hAnsi="Arial" w:cs="Arial"/>
        </w:rPr>
        <w:t>Orphanet</w:t>
      </w:r>
      <w:proofErr w:type="spellEnd"/>
      <w:r w:rsidR="00C86528">
        <w:rPr>
          <w:rFonts w:ascii="Arial" w:hAnsi="Arial" w:cs="Arial"/>
        </w:rPr>
        <w:t xml:space="preserve"> Augmented 2021</w:t>
      </w:r>
      <w:r w:rsidR="005F25BE">
        <w:rPr>
          <w:rFonts w:ascii="Arial" w:hAnsi="Arial" w:cs="Arial"/>
        </w:rPr>
        <w:t xml:space="preserve"> database (</w:t>
      </w:r>
      <w:r w:rsidR="005F25BE">
        <w:rPr>
          <w:rFonts w:ascii="Arial" w:hAnsi="Arial" w:cs="Arial"/>
          <w:b/>
        </w:rPr>
        <w:t xml:space="preserve">Supplementary Figure S1; </w:t>
      </w:r>
      <w:r w:rsidR="005F25BE" w:rsidRPr="008F32BC">
        <w:rPr>
          <w:rFonts w:ascii="Arial" w:hAnsi="Arial" w:cs="Arial"/>
          <w:b/>
        </w:rPr>
        <w:t>Supplementary Table S1</w:t>
      </w:r>
      <w:r w:rsidR="005F25BE">
        <w:rPr>
          <w:rFonts w:ascii="Arial" w:hAnsi="Arial" w:cs="Arial"/>
          <w:b/>
        </w:rPr>
        <w:t>)</w:t>
      </w:r>
      <w:r w:rsidR="005F25BE" w:rsidRPr="00FF2C7C">
        <w:rPr>
          <w:rFonts w:ascii="Arial" w:hAnsi="Arial" w:cs="Arial"/>
        </w:rPr>
        <w:t>.</w:t>
      </w:r>
      <w:r w:rsidR="005F25BE">
        <w:rPr>
          <w:rFonts w:ascii="Arial" w:hAnsi="Arial" w:cs="Arial"/>
        </w:rPr>
        <w:t xml:space="preserve"> </w:t>
      </w:r>
    </w:p>
    <w:p w:rsidR="00F4553B" w:rsidRDefault="00F4553B" w:rsidP="00A71EB1">
      <w:pPr>
        <w:autoSpaceDE w:val="0"/>
        <w:autoSpaceDN w:val="0"/>
        <w:adjustRightInd w:val="0"/>
        <w:spacing w:after="0" w:line="240" w:lineRule="auto"/>
        <w:ind w:firstLine="720"/>
        <w:rPr>
          <w:rFonts w:ascii="Arial" w:hAnsi="Arial" w:cs="Arial"/>
        </w:rPr>
      </w:pPr>
      <w:r>
        <w:rPr>
          <w:rFonts w:ascii="Arial" w:hAnsi="Arial" w:cs="Arial"/>
        </w:rPr>
        <w:t xml:space="preserve">Follow-up analyses revealed that overall there are 206 human genes encoding proteins manifesting significantly enriched records of protein-protein interactions </w:t>
      </w:r>
      <w:r w:rsidR="00461467">
        <w:rPr>
          <w:rFonts w:ascii="Arial" w:hAnsi="Arial" w:cs="Arial"/>
        </w:rPr>
        <w:t xml:space="preserve">(PPIs) </w:t>
      </w:r>
      <w:r>
        <w:rPr>
          <w:rFonts w:ascii="Arial" w:hAnsi="Arial" w:cs="Arial"/>
        </w:rPr>
        <w:t xml:space="preserve">with </w:t>
      </w:r>
      <w:r w:rsidR="005501F5">
        <w:rPr>
          <w:rFonts w:ascii="Arial" w:hAnsi="Arial" w:cs="Arial"/>
        </w:rPr>
        <w:t>protein</w:t>
      </w:r>
      <w:r w:rsidR="00461467">
        <w:rPr>
          <w:rFonts w:ascii="Arial" w:hAnsi="Arial" w:cs="Arial"/>
        </w:rPr>
        <w:t xml:space="preserve"> product</w:t>
      </w:r>
      <w:r w:rsidR="005501F5">
        <w:rPr>
          <w:rFonts w:ascii="Arial" w:hAnsi="Arial" w:cs="Arial"/>
        </w:rPr>
        <w:t xml:space="preserve">s encoded by </w:t>
      </w:r>
      <w:r>
        <w:rPr>
          <w:rFonts w:ascii="Arial" w:hAnsi="Arial" w:cs="Arial"/>
        </w:rPr>
        <w:t>34 genes (</w:t>
      </w:r>
      <w:r w:rsidR="00461467">
        <w:rPr>
          <w:rFonts w:ascii="Arial" w:hAnsi="Arial" w:cs="Arial"/>
          <w:b/>
        </w:rPr>
        <w:t>Figures 5-6</w:t>
      </w:r>
      <w:r w:rsidRPr="00637E64">
        <w:rPr>
          <w:rFonts w:ascii="Arial" w:hAnsi="Arial" w:cs="Arial"/>
          <w:b/>
        </w:rPr>
        <w:t>; Supplementary Table S1</w:t>
      </w:r>
      <w:r w:rsidR="000002DA">
        <w:rPr>
          <w:rFonts w:ascii="Arial" w:hAnsi="Arial" w:cs="Arial"/>
          <w:b/>
        </w:rPr>
        <w:t>; Supplementary Summaries S4-S5</w:t>
      </w:r>
      <w:r w:rsidR="002D0B2B">
        <w:rPr>
          <w:rFonts w:ascii="Arial" w:hAnsi="Arial" w:cs="Arial"/>
        </w:rPr>
        <w:t>). Because protein products of 34 genes manifest significant enrichment of PPIs with human disease-causing genes (</w:t>
      </w:r>
      <w:r w:rsidR="00461467">
        <w:rPr>
          <w:rFonts w:ascii="Arial" w:hAnsi="Arial" w:cs="Arial"/>
          <w:b/>
        </w:rPr>
        <w:t>Figure 5</w:t>
      </w:r>
      <w:r w:rsidR="002D0B2B" w:rsidRPr="002D0B2B">
        <w:rPr>
          <w:rFonts w:ascii="Arial" w:hAnsi="Arial" w:cs="Arial"/>
          <w:b/>
        </w:rPr>
        <w:t>; Supplementary Figure S1; Supplementary Table S1</w:t>
      </w:r>
      <w:r w:rsidR="000002DA">
        <w:rPr>
          <w:rFonts w:ascii="Arial" w:hAnsi="Arial" w:cs="Arial"/>
          <w:b/>
        </w:rPr>
        <w:t>; Supplementary Summary S4</w:t>
      </w:r>
      <w:r w:rsidR="002D0B2B">
        <w:rPr>
          <w:rFonts w:ascii="Arial" w:hAnsi="Arial" w:cs="Arial"/>
        </w:rPr>
        <w:t>), these ob</w:t>
      </w:r>
      <w:r w:rsidR="005501F5">
        <w:rPr>
          <w:rFonts w:ascii="Arial" w:hAnsi="Arial" w:cs="Arial"/>
        </w:rPr>
        <w:t>servations suggest that</w:t>
      </w:r>
      <w:r w:rsidR="00CF6021">
        <w:rPr>
          <w:rFonts w:ascii="Arial" w:hAnsi="Arial" w:cs="Arial"/>
        </w:rPr>
        <w:t xml:space="preserve"> a </w:t>
      </w:r>
      <w:r w:rsidR="002D0B2B">
        <w:rPr>
          <w:rFonts w:ascii="Arial" w:hAnsi="Arial" w:cs="Arial"/>
        </w:rPr>
        <w:t xml:space="preserve">network of </w:t>
      </w:r>
      <w:r w:rsidR="005501F5">
        <w:rPr>
          <w:rFonts w:ascii="Arial" w:hAnsi="Arial" w:cs="Arial"/>
        </w:rPr>
        <w:t xml:space="preserve">proteins encoded by 240 genes </w:t>
      </w:r>
      <w:r w:rsidR="00CF6021">
        <w:rPr>
          <w:rFonts w:ascii="Arial" w:hAnsi="Arial" w:cs="Arial"/>
        </w:rPr>
        <w:t>may be</w:t>
      </w:r>
      <w:r w:rsidR="002D0B2B">
        <w:rPr>
          <w:rFonts w:ascii="Arial" w:hAnsi="Arial" w:cs="Arial"/>
        </w:rPr>
        <w:t xml:space="preserve"> engaged in PPIs with human disease-causing genes</w:t>
      </w:r>
      <w:r w:rsidR="00286129">
        <w:rPr>
          <w:rFonts w:ascii="Arial" w:hAnsi="Arial" w:cs="Arial"/>
        </w:rPr>
        <w:t xml:space="preserve"> as well</w:t>
      </w:r>
      <w:r w:rsidR="002D0B2B">
        <w:rPr>
          <w:rFonts w:ascii="Arial" w:hAnsi="Arial" w:cs="Arial"/>
        </w:rPr>
        <w:t>. This hypothesis was tested by performing G</w:t>
      </w:r>
      <w:r w:rsidR="00CF6021">
        <w:rPr>
          <w:rFonts w:ascii="Arial" w:hAnsi="Arial" w:cs="Arial"/>
        </w:rPr>
        <w:t>SEA of 240 genes comprising the</w:t>
      </w:r>
      <w:r w:rsidR="002D0B2B">
        <w:rPr>
          <w:rFonts w:ascii="Arial" w:hAnsi="Arial" w:cs="Arial"/>
        </w:rPr>
        <w:t xml:space="preserve"> putative PPI network of human disease-causing genes (</w:t>
      </w:r>
      <w:r w:rsidR="00461467">
        <w:rPr>
          <w:rFonts w:ascii="Arial" w:hAnsi="Arial" w:cs="Arial"/>
          <w:b/>
        </w:rPr>
        <w:t>Figures 5-6</w:t>
      </w:r>
      <w:r w:rsidR="002D0B2B" w:rsidRPr="002D0B2B">
        <w:rPr>
          <w:rFonts w:ascii="Arial" w:hAnsi="Arial" w:cs="Arial"/>
          <w:b/>
        </w:rPr>
        <w:t>; Supplementary Table S1</w:t>
      </w:r>
      <w:r w:rsidR="000002DA">
        <w:rPr>
          <w:rFonts w:ascii="Arial" w:hAnsi="Arial" w:cs="Arial"/>
          <w:b/>
        </w:rPr>
        <w:t>; Supplementary Summaries S4-S5</w:t>
      </w:r>
      <w:r w:rsidR="002D0B2B">
        <w:rPr>
          <w:rFonts w:ascii="Arial" w:hAnsi="Arial" w:cs="Arial"/>
        </w:rPr>
        <w:t xml:space="preserve">). </w:t>
      </w:r>
    </w:p>
    <w:p w:rsidR="00037720" w:rsidRDefault="00037720" w:rsidP="00A71EB1">
      <w:pPr>
        <w:autoSpaceDE w:val="0"/>
        <w:autoSpaceDN w:val="0"/>
        <w:adjustRightInd w:val="0"/>
        <w:spacing w:after="0" w:line="240" w:lineRule="auto"/>
        <w:ind w:firstLine="720"/>
        <w:rPr>
          <w:rFonts w:ascii="Arial" w:hAnsi="Arial" w:cs="Arial"/>
        </w:rPr>
      </w:pPr>
      <w:r>
        <w:rPr>
          <w:rFonts w:ascii="Arial" w:hAnsi="Arial" w:cs="Arial"/>
        </w:rPr>
        <w:t>GSEA of 240 genes consistently demonstrated that numbers of significantly enriched phenotypic traits linked with 240 genes are markedly higher compared to either 34 genes or the parent set of 5444 genes (</w:t>
      </w:r>
      <w:r w:rsidRPr="008F32BC">
        <w:rPr>
          <w:rFonts w:ascii="Arial" w:hAnsi="Arial" w:cs="Arial"/>
          <w:b/>
        </w:rPr>
        <w:t>Figure</w:t>
      </w:r>
      <w:r w:rsidR="00F92946">
        <w:rPr>
          <w:rFonts w:ascii="Arial" w:hAnsi="Arial" w:cs="Arial"/>
          <w:b/>
        </w:rPr>
        <w:t>s</w:t>
      </w:r>
      <w:r w:rsidRPr="008F32BC">
        <w:rPr>
          <w:rFonts w:ascii="Arial" w:hAnsi="Arial" w:cs="Arial"/>
          <w:b/>
        </w:rPr>
        <w:t xml:space="preserve"> </w:t>
      </w:r>
      <w:r w:rsidR="00461467">
        <w:rPr>
          <w:rFonts w:ascii="Arial" w:hAnsi="Arial" w:cs="Arial"/>
          <w:b/>
        </w:rPr>
        <w:t>5-6</w:t>
      </w:r>
      <w:r w:rsidR="00F92946">
        <w:rPr>
          <w:rFonts w:ascii="Arial" w:hAnsi="Arial" w:cs="Arial"/>
          <w:b/>
        </w:rPr>
        <w:t>;</w:t>
      </w:r>
      <w:r>
        <w:rPr>
          <w:rFonts w:ascii="Arial" w:hAnsi="Arial" w:cs="Arial"/>
          <w:b/>
        </w:rPr>
        <w:t xml:space="preserve"> </w:t>
      </w:r>
      <w:r w:rsidRPr="008F32BC">
        <w:rPr>
          <w:rFonts w:ascii="Arial" w:hAnsi="Arial" w:cs="Arial"/>
          <w:b/>
        </w:rPr>
        <w:t>Supplementary Table S1</w:t>
      </w:r>
      <w:r w:rsidR="000002DA">
        <w:rPr>
          <w:rFonts w:ascii="Arial" w:hAnsi="Arial" w:cs="Arial"/>
          <w:b/>
        </w:rPr>
        <w:t>; Supplementary Summaries S4-S5</w:t>
      </w:r>
      <w:r>
        <w:rPr>
          <w:rFonts w:ascii="Arial" w:hAnsi="Arial" w:cs="Arial"/>
          <w:b/>
        </w:rPr>
        <w:t>)</w:t>
      </w:r>
      <w:r w:rsidRPr="00FF2C7C">
        <w:rPr>
          <w:rFonts w:ascii="Arial" w:hAnsi="Arial" w:cs="Arial"/>
        </w:rPr>
        <w:t xml:space="preserve">. </w:t>
      </w:r>
      <w:r w:rsidR="00F92946">
        <w:rPr>
          <w:rFonts w:ascii="Arial" w:hAnsi="Arial" w:cs="Arial"/>
        </w:rPr>
        <w:t>GSEA</w:t>
      </w:r>
      <w:r w:rsidR="00F76D4E" w:rsidRPr="00F76D4E">
        <w:rPr>
          <w:rFonts w:ascii="Arial" w:hAnsi="Arial" w:cs="Arial"/>
        </w:rPr>
        <w:t xml:space="preserve"> </w:t>
      </w:r>
      <w:r w:rsidR="00F76D4E">
        <w:rPr>
          <w:rFonts w:ascii="Arial" w:hAnsi="Arial" w:cs="Arial"/>
        </w:rPr>
        <w:t xml:space="preserve">employing the </w:t>
      </w:r>
      <w:proofErr w:type="spellStart"/>
      <w:r w:rsidR="00F76D4E">
        <w:rPr>
          <w:rFonts w:ascii="Arial" w:hAnsi="Arial" w:cs="Arial"/>
        </w:rPr>
        <w:t>DisGeNET</w:t>
      </w:r>
      <w:proofErr w:type="spellEnd"/>
      <w:r w:rsidR="00F76D4E">
        <w:rPr>
          <w:rFonts w:ascii="Arial" w:hAnsi="Arial" w:cs="Arial"/>
        </w:rPr>
        <w:t xml:space="preserve"> database</w:t>
      </w:r>
      <w:r w:rsidR="00F92946">
        <w:rPr>
          <w:rFonts w:ascii="Arial" w:hAnsi="Arial" w:cs="Arial"/>
        </w:rPr>
        <w:t xml:space="preserve"> identified</w:t>
      </w:r>
      <w:r>
        <w:rPr>
          <w:rFonts w:ascii="Arial" w:hAnsi="Arial" w:cs="Arial"/>
        </w:rPr>
        <w:t xml:space="preserve"> </w:t>
      </w:r>
      <w:r w:rsidR="00F92946">
        <w:rPr>
          <w:rFonts w:ascii="Arial" w:hAnsi="Arial" w:cs="Arial"/>
        </w:rPr>
        <w:t>3</w:t>
      </w:r>
      <w:r w:rsidR="00F76D4E">
        <w:rPr>
          <w:rFonts w:ascii="Arial" w:hAnsi="Arial" w:cs="Arial"/>
        </w:rPr>
        <w:t>298;</w:t>
      </w:r>
      <w:r w:rsidR="00F92946">
        <w:rPr>
          <w:rFonts w:ascii="Arial" w:hAnsi="Arial" w:cs="Arial"/>
        </w:rPr>
        <w:t xml:space="preserve"> </w:t>
      </w:r>
      <w:r>
        <w:rPr>
          <w:rFonts w:ascii="Arial" w:hAnsi="Arial" w:cs="Arial"/>
        </w:rPr>
        <w:t>1387</w:t>
      </w:r>
      <w:r w:rsidR="00F76D4E">
        <w:rPr>
          <w:rFonts w:ascii="Arial" w:hAnsi="Arial" w:cs="Arial"/>
        </w:rPr>
        <w:t>;</w:t>
      </w:r>
      <w:r>
        <w:rPr>
          <w:rFonts w:ascii="Arial" w:hAnsi="Arial" w:cs="Arial"/>
        </w:rPr>
        <w:t xml:space="preserve"> and 477 significantly enriched records of h</w:t>
      </w:r>
      <w:r w:rsidR="00F92946">
        <w:rPr>
          <w:rFonts w:ascii="Arial" w:hAnsi="Arial" w:cs="Arial"/>
        </w:rPr>
        <w:t xml:space="preserve">uman diseases linked with 240 genes, </w:t>
      </w:r>
      <w:r>
        <w:rPr>
          <w:rFonts w:ascii="Arial" w:hAnsi="Arial" w:cs="Arial"/>
        </w:rPr>
        <w:t>34 genes</w:t>
      </w:r>
      <w:r w:rsidR="00F92946">
        <w:rPr>
          <w:rFonts w:ascii="Arial" w:hAnsi="Arial" w:cs="Arial"/>
        </w:rPr>
        <w:t>,</w:t>
      </w:r>
      <w:r w:rsidR="00F76D4E">
        <w:rPr>
          <w:rFonts w:ascii="Arial" w:hAnsi="Arial" w:cs="Arial"/>
        </w:rPr>
        <w:t xml:space="preserve"> and 5444 genes, respectively</w:t>
      </w:r>
      <w:r>
        <w:rPr>
          <w:rFonts w:ascii="Arial" w:hAnsi="Arial" w:cs="Arial"/>
        </w:rPr>
        <w:t xml:space="preserve"> (</w:t>
      </w:r>
      <w:r w:rsidR="00461467">
        <w:rPr>
          <w:rFonts w:ascii="Arial" w:hAnsi="Arial" w:cs="Arial"/>
          <w:b/>
        </w:rPr>
        <w:t>Figure 5</w:t>
      </w:r>
      <w:r w:rsidR="00F92946" w:rsidRPr="00F92946">
        <w:rPr>
          <w:rFonts w:ascii="Arial" w:hAnsi="Arial" w:cs="Arial"/>
          <w:b/>
        </w:rPr>
        <w:t>;</w:t>
      </w:r>
      <w:r w:rsidR="00F92946">
        <w:rPr>
          <w:rFonts w:ascii="Arial" w:hAnsi="Arial" w:cs="Arial"/>
        </w:rPr>
        <w:t xml:space="preserve"> </w:t>
      </w:r>
      <w:r>
        <w:rPr>
          <w:rFonts w:ascii="Arial" w:hAnsi="Arial" w:cs="Arial"/>
          <w:b/>
        </w:rPr>
        <w:t xml:space="preserve">Supplementary Figure S1; </w:t>
      </w:r>
      <w:r w:rsidRPr="008F32BC">
        <w:rPr>
          <w:rFonts w:ascii="Arial" w:hAnsi="Arial" w:cs="Arial"/>
          <w:b/>
        </w:rPr>
        <w:t>Supplementary Table S1</w:t>
      </w:r>
      <w:r w:rsidR="000002DA">
        <w:rPr>
          <w:rFonts w:ascii="Arial" w:hAnsi="Arial" w:cs="Arial"/>
          <w:b/>
        </w:rPr>
        <w:t>; Supplementary Summary S4</w:t>
      </w:r>
      <w:r>
        <w:rPr>
          <w:rFonts w:ascii="Arial" w:hAnsi="Arial" w:cs="Arial"/>
          <w:b/>
        </w:rPr>
        <w:t>)</w:t>
      </w:r>
      <w:r w:rsidRPr="00FF2C7C">
        <w:rPr>
          <w:rFonts w:ascii="Arial" w:hAnsi="Arial" w:cs="Arial"/>
        </w:rPr>
        <w:t>.</w:t>
      </w:r>
      <w:r w:rsidR="00F92946">
        <w:rPr>
          <w:rFonts w:ascii="Arial" w:hAnsi="Arial" w:cs="Arial"/>
        </w:rPr>
        <w:t xml:space="preserve"> Q</w:t>
      </w:r>
      <w:r w:rsidR="00F76D4E">
        <w:rPr>
          <w:rFonts w:ascii="Arial" w:hAnsi="Arial" w:cs="Arial"/>
        </w:rPr>
        <w:t>ualitatively distinct</w:t>
      </w:r>
      <w:r w:rsidR="00F92946">
        <w:rPr>
          <w:rFonts w:ascii="Arial" w:hAnsi="Arial" w:cs="Arial"/>
        </w:rPr>
        <w:t xml:space="preserve"> patterns</w:t>
      </w:r>
      <w:r>
        <w:rPr>
          <w:rFonts w:ascii="Arial" w:hAnsi="Arial" w:cs="Arial"/>
        </w:rPr>
        <w:t xml:space="preserve"> noted between top </w:t>
      </w:r>
      <w:r>
        <w:rPr>
          <w:rFonts w:ascii="Arial" w:hAnsi="Arial" w:cs="Arial"/>
        </w:rPr>
        <w:lastRenderedPageBreak/>
        <w:t>10 significantly enriched records of human diseas</w:t>
      </w:r>
      <w:r w:rsidR="00F92946">
        <w:rPr>
          <w:rFonts w:ascii="Arial" w:hAnsi="Arial" w:cs="Arial"/>
        </w:rPr>
        <w:t>es associated with</w:t>
      </w:r>
      <w:r>
        <w:rPr>
          <w:rFonts w:ascii="Arial" w:hAnsi="Arial" w:cs="Arial"/>
        </w:rPr>
        <w:t xml:space="preserve"> 34 genes</w:t>
      </w:r>
      <w:r w:rsidR="00F92946">
        <w:rPr>
          <w:rFonts w:ascii="Arial" w:hAnsi="Arial" w:cs="Arial"/>
        </w:rPr>
        <w:t xml:space="preserve"> versus</w:t>
      </w:r>
      <w:r>
        <w:rPr>
          <w:rFonts w:ascii="Arial" w:hAnsi="Arial" w:cs="Arial"/>
        </w:rPr>
        <w:t xml:space="preserve"> </w:t>
      </w:r>
      <w:r w:rsidR="00F92946">
        <w:rPr>
          <w:rFonts w:ascii="Arial" w:hAnsi="Arial" w:cs="Arial"/>
        </w:rPr>
        <w:t>5444 genes</w:t>
      </w:r>
      <w:r>
        <w:rPr>
          <w:rFonts w:ascii="Arial" w:hAnsi="Arial" w:cs="Arial"/>
        </w:rPr>
        <w:t xml:space="preserve"> (</w:t>
      </w:r>
      <w:r>
        <w:rPr>
          <w:rFonts w:ascii="Arial" w:hAnsi="Arial" w:cs="Arial"/>
          <w:b/>
        </w:rPr>
        <w:t xml:space="preserve">Supplementary Figure S1; </w:t>
      </w:r>
      <w:r w:rsidRPr="008F32BC">
        <w:rPr>
          <w:rFonts w:ascii="Arial" w:hAnsi="Arial" w:cs="Arial"/>
          <w:b/>
        </w:rPr>
        <w:t>Supplementary Table S1</w:t>
      </w:r>
      <w:r>
        <w:rPr>
          <w:rFonts w:ascii="Arial" w:hAnsi="Arial" w:cs="Arial"/>
          <w:b/>
        </w:rPr>
        <w:t>)</w:t>
      </w:r>
      <w:r w:rsidR="00F92946">
        <w:rPr>
          <w:rFonts w:ascii="Arial" w:hAnsi="Arial" w:cs="Arial"/>
          <w:b/>
        </w:rPr>
        <w:t xml:space="preserve"> </w:t>
      </w:r>
      <w:r w:rsidR="00F92946" w:rsidRPr="00F76D4E">
        <w:rPr>
          <w:rFonts w:ascii="Arial" w:hAnsi="Arial" w:cs="Arial"/>
        </w:rPr>
        <w:t>were recapitulated by GSEA of 240 genes:</w:t>
      </w:r>
      <w:r w:rsidR="00F92946">
        <w:rPr>
          <w:rFonts w:ascii="Arial" w:hAnsi="Arial" w:cs="Arial"/>
          <w:b/>
        </w:rPr>
        <w:t xml:space="preserve"> </w:t>
      </w:r>
      <w:r w:rsidR="00F92946">
        <w:rPr>
          <w:rFonts w:ascii="Arial" w:hAnsi="Arial" w:cs="Arial"/>
        </w:rPr>
        <w:t xml:space="preserve">all top 10 GSEA records linked with 240 genes </w:t>
      </w:r>
      <w:r w:rsidR="00F76D4E">
        <w:rPr>
          <w:rFonts w:ascii="Arial" w:hAnsi="Arial" w:cs="Arial"/>
        </w:rPr>
        <w:t>were multiple</w:t>
      </w:r>
      <w:r w:rsidR="00F92946">
        <w:rPr>
          <w:rFonts w:ascii="Arial" w:hAnsi="Arial" w:cs="Arial"/>
        </w:rPr>
        <w:t xml:space="preserve"> records of malignant neoplasms, while top 10 records linked with GSEA of 5444 genes were neurodevelopmental and substance abuse disorders</w:t>
      </w:r>
      <w:r w:rsidR="00F76D4E">
        <w:rPr>
          <w:rFonts w:ascii="Arial" w:hAnsi="Arial" w:cs="Arial"/>
        </w:rPr>
        <w:t xml:space="preserve"> (</w:t>
      </w:r>
      <w:r w:rsidR="00461467">
        <w:rPr>
          <w:rFonts w:ascii="Arial" w:hAnsi="Arial" w:cs="Arial"/>
          <w:b/>
        </w:rPr>
        <w:t>Figure 5</w:t>
      </w:r>
      <w:r w:rsidR="00F76D4E" w:rsidRPr="00F76D4E">
        <w:rPr>
          <w:rFonts w:ascii="Arial" w:hAnsi="Arial" w:cs="Arial"/>
          <w:b/>
        </w:rPr>
        <w:t>; Supplemental Table S1</w:t>
      </w:r>
      <w:r w:rsidR="000002DA">
        <w:rPr>
          <w:rFonts w:ascii="Arial" w:hAnsi="Arial" w:cs="Arial"/>
          <w:b/>
        </w:rPr>
        <w:t>; Supplementary Summary S4</w:t>
      </w:r>
      <w:r w:rsidR="00F76D4E">
        <w:rPr>
          <w:rFonts w:ascii="Arial" w:hAnsi="Arial" w:cs="Arial"/>
        </w:rPr>
        <w:t>)</w:t>
      </w:r>
      <w:r w:rsidRPr="00FF2C7C">
        <w:rPr>
          <w:rFonts w:ascii="Arial" w:hAnsi="Arial" w:cs="Arial"/>
        </w:rPr>
        <w:t>.</w:t>
      </w:r>
      <w:r>
        <w:rPr>
          <w:rFonts w:ascii="Arial" w:hAnsi="Arial" w:cs="Arial"/>
        </w:rPr>
        <w:t xml:space="preserve">  In contrast to common human diseases, </w:t>
      </w:r>
      <w:r w:rsidR="00F76D4E">
        <w:rPr>
          <w:rFonts w:ascii="Arial" w:hAnsi="Arial" w:cs="Arial"/>
        </w:rPr>
        <w:t xml:space="preserve">GSEA employing the </w:t>
      </w:r>
      <w:proofErr w:type="spellStart"/>
      <w:r w:rsidR="00F76D4E">
        <w:rPr>
          <w:rFonts w:ascii="Arial" w:hAnsi="Arial" w:cs="Arial"/>
        </w:rPr>
        <w:t>Orphanet</w:t>
      </w:r>
      <w:proofErr w:type="spellEnd"/>
      <w:r w:rsidR="00F76D4E">
        <w:rPr>
          <w:rFonts w:ascii="Arial" w:hAnsi="Arial" w:cs="Arial"/>
        </w:rPr>
        <w:t xml:space="preserve"> Augmented 2021 database identified 199</w:t>
      </w:r>
      <w:r>
        <w:rPr>
          <w:rFonts w:ascii="Arial" w:hAnsi="Arial" w:cs="Arial"/>
        </w:rPr>
        <w:t xml:space="preserve"> and 1095 significantly enriched records of human orphan disorders</w:t>
      </w:r>
      <w:r w:rsidR="00F76D4E">
        <w:rPr>
          <w:rFonts w:ascii="Arial" w:hAnsi="Arial" w:cs="Arial"/>
        </w:rPr>
        <w:t xml:space="preserve"> associated with 240</w:t>
      </w:r>
      <w:r>
        <w:rPr>
          <w:rFonts w:ascii="Arial" w:hAnsi="Arial" w:cs="Arial"/>
        </w:rPr>
        <w:t xml:space="preserve"> gen</w:t>
      </w:r>
      <w:r w:rsidR="00F76D4E">
        <w:rPr>
          <w:rFonts w:ascii="Arial" w:hAnsi="Arial" w:cs="Arial"/>
        </w:rPr>
        <w:t xml:space="preserve">es and 5444 genes, respectively </w:t>
      </w:r>
      <w:r>
        <w:rPr>
          <w:rFonts w:ascii="Arial" w:hAnsi="Arial" w:cs="Arial"/>
        </w:rPr>
        <w:t>(</w:t>
      </w:r>
      <w:r w:rsidR="00461467">
        <w:rPr>
          <w:rFonts w:ascii="Arial" w:hAnsi="Arial" w:cs="Arial"/>
          <w:b/>
        </w:rPr>
        <w:t>Figure 5</w:t>
      </w:r>
      <w:r>
        <w:rPr>
          <w:rFonts w:ascii="Arial" w:hAnsi="Arial" w:cs="Arial"/>
          <w:b/>
        </w:rPr>
        <w:t xml:space="preserve">; </w:t>
      </w:r>
      <w:r w:rsidRPr="008F32BC">
        <w:rPr>
          <w:rFonts w:ascii="Arial" w:hAnsi="Arial" w:cs="Arial"/>
          <w:b/>
        </w:rPr>
        <w:t>Supplementary Table S1</w:t>
      </w:r>
      <w:r w:rsidR="000002DA">
        <w:rPr>
          <w:rFonts w:ascii="Arial" w:hAnsi="Arial" w:cs="Arial"/>
          <w:b/>
        </w:rPr>
        <w:t>; Supplementary Summary S4</w:t>
      </w:r>
      <w:r>
        <w:rPr>
          <w:rFonts w:ascii="Arial" w:hAnsi="Arial" w:cs="Arial"/>
          <w:b/>
        </w:rPr>
        <w:t>)</w:t>
      </w:r>
      <w:r w:rsidRPr="00FF2C7C">
        <w:rPr>
          <w:rFonts w:ascii="Arial" w:hAnsi="Arial" w:cs="Arial"/>
        </w:rPr>
        <w:t>.</w:t>
      </w:r>
      <w:r>
        <w:rPr>
          <w:rFonts w:ascii="Arial" w:hAnsi="Arial" w:cs="Arial"/>
        </w:rPr>
        <w:t xml:space="preserve"> </w:t>
      </w:r>
    </w:p>
    <w:p w:rsidR="00142568" w:rsidRDefault="00142568" w:rsidP="00A71EB1">
      <w:pPr>
        <w:autoSpaceDE w:val="0"/>
        <w:autoSpaceDN w:val="0"/>
        <w:adjustRightInd w:val="0"/>
        <w:spacing w:after="0" w:line="240" w:lineRule="auto"/>
        <w:ind w:firstLine="720"/>
        <w:rPr>
          <w:rFonts w:ascii="Arial" w:hAnsi="Arial" w:cs="Arial"/>
        </w:rPr>
      </w:pPr>
      <w:r>
        <w:rPr>
          <w:rFonts w:ascii="Arial" w:hAnsi="Arial" w:cs="Arial"/>
        </w:rPr>
        <w:t>Particularly intriguing</w:t>
      </w:r>
      <w:r w:rsidR="00F76D4E">
        <w:rPr>
          <w:rFonts w:ascii="Arial" w:hAnsi="Arial" w:cs="Arial"/>
        </w:rPr>
        <w:t xml:space="preserve"> observations were recorded during GSEA of proteomics databases</w:t>
      </w:r>
      <w:r>
        <w:rPr>
          <w:rFonts w:ascii="Arial" w:hAnsi="Arial" w:cs="Arial"/>
        </w:rPr>
        <w:t xml:space="preserve"> focused on </w:t>
      </w:r>
      <w:r w:rsidR="0036741A">
        <w:rPr>
          <w:rFonts w:ascii="Arial" w:hAnsi="Arial" w:cs="Arial"/>
        </w:rPr>
        <w:t xml:space="preserve">the molecular architecture of </w:t>
      </w:r>
      <w:r w:rsidR="004C480D">
        <w:rPr>
          <w:rFonts w:ascii="Arial" w:hAnsi="Arial" w:cs="Arial"/>
        </w:rPr>
        <w:t xml:space="preserve">a large compendium of endogenous </w:t>
      </w:r>
      <w:r>
        <w:rPr>
          <w:rFonts w:ascii="Arial" w:hAnsi="Arial" w:cs="Arial"/>
        </w:rPr>
        <w:t>PPI networks</w:t>
      </w:r>
      <w:r w:rsidR="00F76D4E">
        <w:rPr>
          <w:rFonts w:ascii="Arial" w:hAnsi="Arial" w:cs="Arial"/>
        </w:rPr>
        <w:t>. T</w:t>
      </w:r>
      <w:r>
        <w:rPr>
          <w:rFonts w:ascii="Arial" w:hAnsi="Arial" w:cs="Arial"/>
        </w:rPr>
        <w:t>here are 268 and 228</w:t>
      </w:r>
      <w:r w:rsidR="00F92946">
        <w:rPr>
          <w:rFonts w:ascii="Arial" w:hAnsi="Arial" w:cs="Arial"/>
        </w:rPr>
        <w:t xml:space="preserve"> significantly enriched records </w:t>
      </w:r>
      <w:r>
        <w:rPr>
          <w:rFonts w:ascii="Arial" w:hAnsi="Arial" w:cs="Arial"/>
        </w:rPr>
        <w:t xml:space="preserve">of </w:t>
      </w:r>
      <w:r w:rsidR="004C480D">
        <w:rPr>
          <w:rFonts w:ascii="Arial" w:hAnsi="Arial" w:cs="Arial"/>
        </w:rPr>
        <w:t xml:space="preserve">subsets of </w:t>
      </w:r>
      <w:r>
        <w:rPr>
          <w:rFonts w:ascii="Arial" w:hAnsi="Arial" w:cs="Arial"/>
        </w:rPr>
        <w:t>240</w:t>
      </w:r>
      <w:r w:rsidR="00F92946">
        <w:rPr>
          <w:rFonts w:ascii="Arial" w:hAnsi="Arial" w:cs="Arial"/>
        </w:rPr>
        <w:t xml:space="preserve"> genes identified by GSEA of the Transcription Factors PPI database and the Hub Proteins PPI database, respe</w:t>
      </w:r>
      <w:r>
        <w:rPr>
          <w:rFonts w:ascii="Arial" w:hAnsi="Arial" w:cs="Arial"/>
        </w:rPr>
        <w:t>ctively, while there are 121 and 124</w:t>
      </w:r>
      <w:r w:rsidR="00F92946">
        <w:rPr>
          <w:rFonts w:ascii="Arial" w:hAnsi="Arial" w:cs="Arial"/>
        </w:rPr>
        <w:t xml:space="preserve"> signi</w:t>
      </w:r>
      <w:r>
        <w:rPr>
          <w:rFonts w:ascii="Arial" w:hAnsi="Arial" w:cs="Arial"/>
        </w:rPr>
        <w:t>ficantly enriched record in corresponding</w:t>
      </w:r>
      <w:r w:rsidR="00F92946">
        <w:rPr>
          <w:rFonts w:ascii="Arial" w:hAnsi="Arial" w:cs="Arial"/>
        </w:rPr>
        <w:t xml:space="preserve"> database</w:t>
      </w:r>
      <w:r>
        <w:rPr>
          <w:rFonts w:ascii="Arial" w:hAnsi="Arial" w:cs="Arial"/>
        </w:rPr>
        <w:t>s identified by GSEA of 3</w:t>
      </w:r>
      <w:r w:rsidR="00F92946">
        <w:rPr>
          <w:rFonts w:ascii="Arial" w:hAnsi="Arial" w:cs="Arial"/>
        </w:rPr>
        <w:t>4 genes (</w:t>
      </w:r>
      <w:r w:rsidR="00F92946" w:rsidRPr="005F25BE">
        <w:rPr>
          <w:rFonts w:ascii="Arial" w:hAnsi="Arial" w:cs="Arial"/>
          <w:b/>
        </w:rPr>
        <w:t>Figure</w:t>
      </w:r>
      <w:r w:rsidR="00461467">
        <w:rPr>
          <w:rFonts w:ascii="Arial" w:hAnsi="Arial" w:cs="Arial"/>
          <w:b/>
        </w:rPr>
        <w:t>s 5-6</w:t>
      </w:r>
      <w:r w:rsidR="00F76D4E">
        <w:rPr>
          <w:rFonts w:ascii="Arial" w:hAnsi="Arial" w:cs="Arial"/>
          <w:b/>
        </w:rPr>
        <w:t>; Supplementary Table S1</w:t>
      </w:r>
      <w:r w:rsidR="000002DA">
        <w:rPr>
          <w:rFonts w:ascii="Arial" w:hAnsi="Arial" w:cs="Arial"/>
          <w:b/>
        </w:rPr>
        <w:t>; Supplementary Summary S4-S5</w:t>
      </w:r>
      <w:r w:rsidR="00F92946">
        <w:rPr>
          <w:rFonts w:ascii="Arial" w:hAnsi="Arial" w:cs="Arial"/>
        </w:rPr>
        <w:t>).</w:t>
      </w:r>
      <w:r>
        <w:rPr>
          <w:rFonts w:ascii="Arial" w:hAnsi="Arial" w:cs="Arial"/>
        </w:rPr>
        <w:t xml:space="preserve"> Similarly, there are 606 and 62 significantly enriched records of 240 genes identified by GSEA of the CORUM Protein Complexes database and the SILAC </w:t>
      </w:r>
      <w:proofErr w:type="spellStart"/>
      <w:r>
        <w:rPr>
          <w:rFonts w:ascii="Arial" w:hAnsi="Arial" w:cs="Arial"/>
        </w:rPr>
        <w:t>Phosphoproteomics</w:t>
      </w:r>
      <w:proofErr w:type="spellEnd"/>
      <w:r>
        <w:rPr>
          <w:rFonts w:ascii="Arial" w:hAnsi="Arial" w:cs="Arial"/>
        </w:rPr>
        <w:t xml:space="preserve"> database, respectively, while there are 143 and 22 significantly enriched record in corresponding databases identified by GSEA of 34 genes (</w:t>
      </w:r>
      <w:r w:rsidRPr="005F25BE">
        <w:rPr>
          <w:rFonts w:ascii="Arial" w:hAnsi="Arial" w:cs="Arial"/>
          <w:b/>
        </w:rPr>
        <w:t>Figure</w:t>
      </w:r>
      <w:r w:rsidR="00461467">
        <w:rPr>
          <w:rFonts w:ascii="Arial" w:hAnsi="Arial" w:cs="Arial"/>
          <w:b/>
        </w:rPr>
        <w:t xml:space="preserve"> 6</w:t>
      </w:r>
      <w:r>
        <w:rPr>
          <w:rFonts w:ascii="Arial" w:hAnsi="Arial" w:cs="Arial"/>
          <w:b/>
        </w:rPr>
        <w:t>; Supplementary Table S1</w:t>
      </w:r>
      <w:r w:rsidR="000002DA">
        <w:rPr>
          <w:rFonts w:ascii="Arial" w:hAnsi="Arial" w:cs="Arial"/>
          <w:b/>
        </w:rPr>
        <w:t>; Supplementary Summary S5</w:t>
      </w:r>
      <w:r>
        <w:rPr>
          <w:rFonts w:ascii="Arial" w:hAnsi="Arial" w:cs="Arial"/>
        </w:rPr>
        <w:t xml:space="preserve">). </w:t>
      </w:r>
      <w:r w:rsidR="003F460D">
        <w:rPr>
          <w:rFonts w:ascii="Arial" w:hAnsi="Arial" w:cs="Arial"/>
        </w:rPr>
        <w:t xml:space="preserve">Strikingly, GSEA employing the NURSA Human Endogenous </w:t>
      </w:r>
      <w:proofErr w:type="spellStart"/>
      <w:r w:rsidR="003F460D">
        <w:rPr>
          <w:rFonts w:ascii="Arial" w:hAnsi="Arial" w:cs="Arial"/>
        </w:rPr>
        <w:t>Complexome</w:t>
      </w:r>
      <w:proofErr w:type="spellEnd"/>
      <w:r w:rsidR="003F460D">
        <w:rPr>
          <w:rFonts w:ascii="Arial" w:hAnsi="Arial" w:cs="Arial"/>
        </w:rPr>
        <w:t xml:space="preserve"> database identified 1783 significantly enriched records linked with 240 genes, while no significantly enriched traits were recorded for GSEA of either 34 genes or 5444 genes (</w:t>
      </w:r>
      <w:r w:rsidR="003F460D" w:rsidRPr="005F25BE">
        <w:rPr>
          <w:rFonts w:ascii="Arial" w:hAnsi="Arial" w:cs="Arial"/>
          <w:b/>
        </w:rPr>
        <w:t>Figure</w:t>
      </w:r>
      <w:r w:rsidR="00461467">
        <w:rPr>
          <w:rFonts w:ascii="Arial" w:hAnsi="Arial" w:cs="Arial"/>
          <w:b/>
        </w:rPr>
        <w:t xml:space="preserve"> 6</w:t>
      </w:r>
      <w:r w:rsidR="003F460D">
        <w:rPr>
          <w:rFonts w:ascii="Arial" w:hAnsi="Arial" w:cs="Arial"/>
          <w:b/>
        </w:rPr>
        <w:t>; Supplementary Table S1</w:t>
      </w:r>
      <w:r w:rsidR="000002DA">
        <w:rPr>
          <w:rFonts w:ascii="Arial" w:hAnsi="Arial" w:cs="Arial"/>
          <w:b/>
        </w:rPr>
        <w:t>; Supplementary Summary S5</w:t>
      </w:r>
      <w:r w:rsidR="003F460D">
        <w:rPr>
          <w:rFonts w:ascii="Arial" w:hAnsi="Arial" w:cs="Arial"/>
        </w:rPr>
        <w:t>). These observations indicate that</w:t>
      </w:r>
      <w:r w:rsidR="004111DC">
        <w:rPr>
          <w:rFonts w:ascii="Arial" w:hAnsi="Arial" w:cs="Arial"/>
        </w:rPr>
        <w:t xml:space="preserve"> protein products selected from</w:t>
      </w:r>
      <w:r w:rsidR="004C480D">
        <w:rPr>
          <w:rFonts w:ascii="Arial" w:hAnsi="Arial" w:cs="Arial"/>
        </w:rPr>
        <w:t xml:space="preserve"> a panel of</w:t>
      </w:r>
      <w:r w:rsidR="003F460D">
        <w:rPr>
          <w:rFonts w:ascii="Arial" w:hAnsi="Arial" w:cs="Arial"/>
        </w:rPr>
        <w:t xml:space="preserve"> </w:t>
      </w:r>
      <w:r w:rsidR="004111DC">
        <w:rPr>
          <w:rFonts w:ascii="Arial" w:hAnsi="Arial" w:cs="Arial"/>
        </w:rPr>
        <w:t>240 genes are significantly enriched in PPIs of</w:t>
      </w:r>
      <w:r w:rsidR="00CD1195">
        <w:rPr>
          <w:rFonts w:ascii="Arial" w:hAnsi="Arial" w:cs="Arial"/>
        </w:rPr>
        <w:t xml:space="preserve"> a marked</w:t>
      </w:r>
      <w:r w:rsidR="0036741A">
        <w:rPr>
          <w:rFonts w:ascii="Arial" w:hAnsi="Arial" w:cs="Arial"/>
        </w:rPr>
        <w:t xml:space="preserve"> majority of endogenous human </w:t>
      </w:r>
      <w:proofErr w:type="spellStart"/>
      <w:r w:rsidR="0036741A">
        <w:rPr>
          <w:rFonts w:ascii="Arial" w:hAnsi="Arial" w:cs="Arial"/>
        </w:rPr>
        <w:t>multimolecular</w:t>
      </w:r>
      <w:proofErr w:type="spellEnd"/>
      <w:r w:rsidR="0036741A">
        <w:rPr>
          <w:rFonts w:ascii="Arial" w:hAnsi="Arial" w:cs="Arial"/>
        </w:rPr>
        <w:t xml:space="preserve"> complexes recorded in the NURSA Human Endogenous </w:t>
      </w:r>
      <w:proofErr w:type="spellStart"/>
      <w:r w:rsidR="0036741A">
        <w:rPr>
          <w:rFonts w:ascii="Arial" w:hAnsi="Arial" w:cs="Arial"/>
        </w:rPr>
        <w:t>Complexome</w:t>
      </w:r>
      <w:proofErr w:type="spellEnd"/>
      <w:r w:rsidR="0036741A">
        <w:rPr>
          <w:rFonts w:ascii="Arial" w:hAnsi="Arial" w:cs="Arial"/>
        </w:rPr>
        <w:t xml:space="preserve"> database. It follows, that a set of 88 human embryo </w:t>
      </w:r>
      <w:r w:rsidR="002F5992">
        <w:rPr>
          <w:rFonts w:ascii="Arial" w:hAnsi="Arial" w:cs="Arial"/>
        </w:rPr>
        <w:t>regulatory LTR</w:t>
      </w:r>
      <w:r w:rsidR="0036741A">
        <w:rPr>
          <w:rFonts w:ascii="Arial" w:hAnsi="Arial" w:cs="Arial"/>
        </w:rPr>
        <w:t xml:space="preserve"> elements </w:t>
      </w:r>
      <w:r w:rsidR="00CD1195">
        <w:rPr>
          <w:rFonts w:ascii="Arial" w:hAnsi="Arial" w:cs="Arial"/>
        </w:rPr>
        <w:t>may extend</w:t>
      </w:r>
      <w:r w:rsidR="0036741A">
        <w:rPr>
          <w:rFonts w:ascii="Arial" w:hAnsi="Arial" w:cs="Arial"/>
        </w:rPr>
        <w:t xml:space="preserve"> its regulatory impacts on </w:t>
      </w:r>
      <w:r w:rsidR="00CD1195">
        <w:rPr>
          <w:rFonts w:ascii="Arial" w:hAnsi="Arial" w:cs="Arial"/>
        </w:rPr>
        <w:t xml:space="preserve">vast networks of human endogenous </w:t>
      </w:r>
      <w:proofErr w:type="spellStart"/>
      <w:r w:rsidR="00CD1195">
        <w:rPr>
          <w:rFonts w:ascii="Arial" w:hAnsi="Arial" w:cs="Arial"/>
        </w:rPr>
        <w:t>multimolecular</w:t>
      </w:r>
      <w:proofErr w:type="spellEnd"/>
      <w:r w:rsidR="00CD1195">
        <w:rPr>
          <w:rFonts w:ascii="Arial" w:hAnsi="Arial" w:cs="Arial"/>
        </w:rPr>
        <w:t xml:space="preserve"> complexes via protein products of 34 down-stream target genes engaged in PPIs with 268 transcription factors and 228 hub proteins. </w:t>
      </w:r>
      <w:r w:rsidR="00E7525F">
        <w:rPr>
          <w:rFonts w:ascii="Arial" w:hAnsi="Arial" w:cs="Arial"/>
        </w:rPr>
        <w:t xml:space="preserve">Strikingly, these networks appear impacting PPIs that are significantly enriched in 6584 records of virus-host PPIs documented in </w:t>
      </w:r>
      <w:r w:rsidR="00E7525F" w:rsidRPr="00F127FD">
        <w:rPr>
          <w:rFonts w:ascii="Arial" w:hAnsi="Arial" w:cs="Arial"/>
        </w:rPr>
        <w:t>Virus-Host PPI P-</w:t>
      </w:r>
      <w:proofErr w:type="spellStart"/>
      <w:r w:rsidR="00E7525F" w:rsidRPr="00F127FD">
        <w:rPr>
          <w:rFonts w:ascii="Arial" w:hAnsi="Arial" w:cs="Arial"/>
        </w:rPr>
        <w:t>HIPSTer</w:t>
      </w:r>
      <w:proofErr w:type="spellEnd"/>
      <w:r w:rsidR="00E7525F" w:rsidRPr="00F127FD">
        <w:rPr>
          <w:rFonts w:ascii="Arial" w:hAnsi="Arial" w:cs="Arial"/>
        </w:rPr>
        <w:t xml:space="preserve"> 2020</w:t>
      </w:r>
      <w:r w:rsidR="00E7525F">
        <w:rPr>
          <w:rFonts w:ascii="Arial" w:hAnsi="Arial" w:cs="Arial"/>
        </w:rPr>
        <w:t xml:space="preserve"> database and 2071 records of human rare disorders catalogued in the </w:t>
      </w:r>
      <w:r w:rsidR="00E7525F" w:rsidRPr="00E7525F">
        <w:rPr>
          <w:rFonts w:ascii="Arial" w:hAnsi="Arial" w:cs="Arial"/>
        </w:rPr>
        <w:t xml:space="preserve">Rare Diseases </w:t>
      </w:r>
      <w:proofErr w:type="spellStart"/>
      <w:r w:rsidR="00E7525F" w:rsidRPr="00E7525F">
        <w:rPr>
          <w:rFonts w:ascii="Arial" w:hAnsi="Arial" w:cs="Arial"/>
        </w:rPr>
        <w:t>AutoRIF</w:t>
      </w:r>
      <w:proofErr w:type="spellEnd"/>
      <w:r w:rsidR="00E7525F" w:rsidRPr="00E7525F">
        <w:rPr>
          <w:rFonts w:ascii="Arial" w:hAnsi="Arial" w:cs="Arial"/>
        </w:rPr>
        <w:t xml:space="preserve"> Gene Lists </w:t>
      </w:r>
      <w:r w:rsidR="00E7525F">
        <w:rPr>
          <w:rFonts w:ascii="Arial" w:hAnsi="Arial" w:cs="Arial"/>
        </w:rPr>
        <w:t>database (</w:t>
      </w:r>
      <w:r w:rsidR="00E7525F">
        <w:rPr>
          <w:rFonts w:ascii="Arial" w:hAnsi="Arial" w:cs="Arial"/>
          <w:b/>
        </w:rPr>
        <w:t>Supplementary Table S1)</w:t>
      </w:r>
      <w:r w:rsidR="00E7525F">
        <w:rPr>
          <w:rFonts w:ascii="Arial" w:hAnsi="Arial" w:cs="Arial"/>
        </w:rPr>
        <w:t>.</w:t>
      </w:r>
    </w:p>
    <w:p w:rsidR="005A40F5" w:rsidRDefault="004111DC" w:rsidP="00A71EB1">
      <w:pPr>
        <w:autoSpaceDE w:val="0"/>
        <w:autoSpaceDN w:val="0"/>
        <w:adjustRightInd w:val="0"/>
        <w:spacing w:after="0" w:line="240" w:lineRule="auto"/>
        <w:ind w:firstLine="720"/>
        <w:rPr>
          <w:rFonts w:ascii="Arial" w:hAnsi="Arial" w:cs="Arial"/>
        </w:rPr>
      </w:pPr>
      <w:r>
        <w:rPr>
          <w:rFonts w:ascii="Arial" w:hAnsi="Arial" w:cs="Arial"/>
        </w:rPr>
        <w:t xml:space="preserve">Notably, </w:t>
      </w:r>
      <w:r w:rsidR="00FE0FCE" w:rsidRPr="007434A9">
        <w:rPr>
          <w:rFonts w:ascii="Arial" w:hAnsi="Arial" w:cs="Arial"/>
        </w:rPr>
        <w:t>GSEA of 240 genes employing the OMIM Expanded database of PPIs of human disease-causing genes</w:t>
      </w:r>
      <w:r w:rsidR="003C10C1" w:rsidRPr="007434A9">
        <w:rPr>
          <w:rFonts w:ascii="Arial" w:hAnsi="Arial" w:cs="Arial"/>
        </w:rPr>
        <w:t xml:space="preserve"> further val</w:t>
      </w:r>
      <w:r w:rsidR="002A18BB" w:rsidRPr="007434A9">
        <w:rPr>
          <w:rFonts w:ascii="Arial" w:hAnsi="Arial" w:cs="Arial"/>
        </w:rPr>
        <w:t>idated and expanded this concept by identification of</w:t>
      </w:r>
      <w:r w:rsidR="003C10C1" w:rsidRPr="007434A9">
        <w:rPr>
          <w:rFonts w:ascii="Arial" w:hAnsi="Arial" w:cs="Arial"/>
        </w:rPr>
        <w:t xml:space="preserve"> 51</w:t>
      </w:r>
      <w:r w:rsidR="00FE0FCE" w:rsidRPr="007434A9">
        <w:rPr>
          <w:rFonts w:ascii="Arial" w:hAnsi="Arial" w:cs="Arial"/>
        </w:rPr>
        <w:t xml:space="preserve"> genes, protein products of which appear engaged in PPIs with protein products of disease-causing genes imp</w:t>
      </w:r>
      <w:r w:rsidR="009E04FD">
        <w:rPr>
          <w:rFonts w:ascii="Arial" w:hAnsi="Arial" w:cs="Arial"/>
        </w:rPr>
        <w:t>licated in d</w:t>
      </w:r>
      <w:r>
        <w:rPr>
          <w:rFonts w:ascii="Arial" w:hAnsi="Arial" w:cs="Arial"/>
        </w:rPr>
        <w:t xml:space="preserve">evelopment </w:t>
      </w:r>
      <w:r w:rsidR="00FE0FCE" w:rsidRPr="007434A9">
        <w:rPr>
          <w:rFonts w:ascii="Arial" w:hAnsi="Arial" w:cs="Arial"/>
        </w:rPr>
        <w:t xml:space="preserve">of </w:t>
      </w:r>
      <w:r>
        <w:rPr>
          <w:rFonts w:ascii="Arial" w:hAnsi="Arial" w:cs="Arial"/>
        </w:rPr>
        <w:t xml:space="preserve">numerous </w:t>
      </w:r>
      <w:r w:rsidR="00FE0FCE" w:rsidRPr="007434A9">
        <w:rPr>
          <w:rFonts w:ascii="Arial" w:hAnsi="Arial" w:cs="Arial"/>
        </w:rPr>
        <w:t>human disorders</w:t>
      </w:r>
      <w:r w:rsidR="007411C9">
        <w:rPr>
          <w:rFonts w:ascii="Arial" w:hAnsi="Arial" w:cs="Arial"/>
        </w:rPr>
        <w:t xml:space="preserve"> of an extremely broad spectrum of clinical phenotypes </w:t>
      </w:r>
      <w:r w:rsidR="002A18BB" w:rsidRPr="007434A9">
        <w:rPr>
          <w:rFonts w:ascii="Arial" w:hAnsi="Arial" w:cs="Arial"/>
        </w:rPr>
        <w:t>(</w:t>
      </w:r>
      <w:r w:rsidR="006F51FA">
        <w:rPr>
          <w:rFonts w:ascii="Arial" w:hAnsi="Arial" w:cs="Arial"/>
          <w:b/>
        </w:rPr>
        <w:t>Figure 6</w:t>
      </w:r>
      <w:r w:rsidR="002A18BB" w:rsidRPr="007434A9">
        <w:rPr>
          <w:rFonts w:ascii="Arial" w:hAnsi="Arial" w:cs="Arial"/>
          <w:b/>
        </w:rPr>
        <w:t>; Supplementary Table S1</w:t>
      </w:r>
      <w:r w:rsidR="000002DA" w:rsidRPr="007434A9">
        <w:rPr>
          <w:rFonts w:ascii="Arial" w:hAnsi="Arial" w:cs="Arial"/>
          <w:b/>
        </w:rPr>
        <w:t>; Supplementary Summary S5</w:t>
      </w:r>
      <w:r w:rsidR="002A18BB" w:rsidRPr="007434A9">
        <w:rPr>
          <w:rFonts w:ascii="Arial" w:hAnsi="Arial" w:cs="Arial"/>
        </w:rPr>
        <w:t>)</w:t>
      </w:r>
      <w:r w:rsidR="00FE0FCE" w:rsidRPr="007434A9">
        <w:rPr>
          <w:rFonts w:ascii="Arial" w:hAnsi="Arial" w:cs="Arial"/>
        </w:rPr>
        <w:t xml:space="preserve">. </w:t>
      </w:r>
    </w:p>
    <w:p w:rsidR="009F5D2A" w:rsidRDefault="007434A9" w:rsidP="00A71EB1">
      <w:pPr>
        <w:autoSpaceDE w:val="0"/>
        <w:autoSpaceDN w:val="0"/>
        <w:adjustRightInd w:val="0"/>
        <w:spacing w:after="0" w:line="240" w:lineRule="auto"/>
        <w:ind w:firstLine="720"/>
        <w:rPr>
          <w:rFonts w:ascii="Arial" w:eastAsia="Times New Roman" w:hAnsi="Arial" w:cs="Arial"/>
        </w:rPr>
      </w:pPr>
      <w:r w:rsidRPr="007434A9">
        <w:rPr>
          <w:rFonts w:ascii="Arial" w:eastAsia="Times New Roman" w:hAnsi="Arial" w:cs="Arial"/>
        </w:rPr>
        <w:t>Collectively, present analyses sugges</w:t>
      </w:r>
      <w:r w:rsidR="007411C9">
        <w:rPr>
          <w:rFonts w:ascii="Arial" w:eastAsia="Times New Roman" w:hAnsi="Arial" w:cs="Arial"/>
        </w:rPr>
        <w:t xml:space="preserve">t that a </w:t>
      </w:r>
      <w:r>
        <w:rPr>
          <w:rFonts w:ascii="Arial" w:eastAsia="Times New Roman" w:hAnsi="Arial" w:cs="Arial"/>
        </w:rPr>
        <w:t xml:space="preserve">common </w:t>
      </w:r>
      <w:r w:rsidR="007411C9">
        <w:rPr>
          <w:rFonts w:ascii="Arial" w:eastAsia="Times New Roman" w:hAnsi="Arial" w:cs="Arial"/>
        </w:rPr>
        <w:t>molecular mechanism</w:t>
      </w:r>
      <w:r>
        <w:rPr>
          <w:rFonts w:ascii="Arial" w:eastAsia="Times New Roman" w:hAnsi="Arial" w:cs="Arial"/>
        </w:rPr>
        <w:t xml:space="preserve"> driving development </w:t>
      </w:r>
      <w:r w:rsidR="00627011">
        <w:rPr>
          <w:rFonts w:ascii="Arial" w:eastAsia="Times New Roman" w:hAnsi="Arial" w:cs="Arial"/>
        </w:rPr>
        <w:t>of human pathologies may be</w:t>
      </w:r>
      <w:r w:rsidRPr="007434A9">
        <w:rPr>
          <w:rFonts w:ascii="Arial" w:eastAsia="Times New Roman" w:hAnsi="Arial" w:cs="Arial"/>
        </w:rPr>
        <w:t xml:space="preserve"> </w:t>
      </w:r>
      <w:r w:rsidR="007411C9">
        <w:rPr>
          <w:rFonts w:ascii="Arial" w:eastAsia="Times New Roman" w:hAnsi="Arial" w:cs="Arial"/>
        </w:rPr>
        <w:t xml:space="preserve">associated with altered expression </w:t>
      </w:r>
      <w:r w:rsidRPr="007434A9">
        <w:rPr>
          <w:rFonts w:ascii="Arial" w:eastAsia="Times New Roman" w:hAnsi="Arial" w:cs="Arial"/>
        </w:rPr>
        <w:t>of</w:t>
      </w:r>
      <w:r w:rsidR="00627011">
        <w:rPr>
          <w:rFonts w:ascii="Arial" w:eastAsia="Times New Roman" w:hAnsi="Arial" w:cs="Arial"/>
        </w:rPr>
        <w:t xml:space="preserve"> proteins encoded by </w:t>
      </w:r>
      <w:r w:rsidR="002F5992">
        <w:rPr>
          <w:rFonts w:ascii="Arial" w:eastAsia="Times New Roman" w:hAnsi="Arial" w:cs="Arial"/>
        </w:rPr>
        <w:t>regulatory LTR</w:t>
      </w:r>
      <w:r w:rsidR="00627011">
        <w:rPr>
          <w:rFonts w:ascii="Arial" w:eastAsia="Times New Roman" w:hAnsi="Arial" w:cs="Arial"/>
        </w:rPr>
        <w:t xml:space="preserve"> </w:t>
      </w:r>
      <w:r w:rsidRPr="007434A9">
        <w:rPr>
          <w:rFonts w:ascii="Arial" w:eastAsia="Times New Roman" w:hAnsi="Arial" w:cs="Arial"/>
        </w:rPr>
        <w:t xml:space="preserve">target </w:t>
      </w:r>
      <w:r w:rsidR="00627011">
        <w:rPr>
          <w:rFonts w:ascii="Arial" w:eastAsia="Times New Roman" w:hAnsi="Arial" w:cs="Arial"/>
        </w:rPr>
        <w:t>genes and down-stream</w:t>
      </w:r>
      <w:r w:rsidR="007411C9">
        <w:rPr>
          <w:rFonts w:ascii="Arial" w:eastAsia="Times New Roman" w:hAnsi="Arial" w:cs="Arial"/>
        </w:rPr>
        <w:t xml:space="preserve"> </w:t>
      </w:r>
      <w:r w:rsidR="00627011">
        <w:rPr>
          <w:rFonts w:ascii="Arial" w:eastAsia="Times New Roman" w:hAnsi="Arial" w:cs="Arial"/>
        </w:rPr>
        <w:t xml:space="preserve">effects on PPI networks engaging </w:t>
      </w:r>
      <w:r w:rsidR="007411C9" w:rsidRPr="007434A9">
        <w:rPr>
          <w:rFonts w:ascii="Arial" w:eastAsia="Times New Roman" w:hAnsi="Arial" w:cs="Arial"/>
        </w:rPr>
        <w:t>protein products of disease-causing genes</w:t>
      </w:r>
      <w:r w:rsidR="00627011">
        <w:rPr>
          <w:rFonts w:ascii="Arial" w:eastAsia="Times New Roman" w:hAnsi="Arial" w:cs="Arial"/>
        </w:rPr>
        <w:t>. M</w:t>
      </w:r>
      <w:r w:rsidRPr="007434A9">
        <w:rPr>
          <w:rFonts w:ascii="Arial" w:eastAsia="Times New Roman" w:hAnsi="Arial" w:cs="Arial"/>
        </w:rPr>
        <w:t xml:space="preserve">alfunctions of endogenous </w:t>
      </w:r>
      <w:proofErr w:type="spellStart"/>
      <w:r w:rsidRPr="007434A9">
        <w:rPr>
          <w:rFonts w:ascii="Arial" w:eastAsia="Times New Roman" w:hAnsi="Arial" w:cs="Arial"/>
        </w:rPr>
        <w:t>multimolecular</w:t>
      </w:r>
      <w:proofErr w:type="spellEnd"/>
      <w:r w:rsidRPr="007434A9">
        <w:rPr>
          <w:rFonts w:ascii="Arial" w:eastAsia="Times New Roman" w:hAnsi="Arial" w:cs="Arial"/>
        </w:rPr>
        <w:t xml:space="preserve"> comp</w:t>
      </w:r>
      <w:r w:rsidR="00627011">
        <w:rPr>
          <w:rFonts w:ascii="Arial" w:eastAsia="Times New Roman" w:hAnsi="Arial" w:cs="Arial"/>
        </w:rPr>
        <w:t>lexes tagged by PPIs of</w:t>
      </w:r>
      <w:r w:rsidRPr="007434A9">
        <w:rPr>
          <w:rFonts w:ascii="Arial" w:eastAsia="Times New Roman" w:hAnsi="Arial" w:cs="Arial"/>
        </w:rPr>
        <w:t xml:space="preserve"> proteins encod</w:t>
      </w:r>
      <w:r w:rsidR="00627011">
        <w:rPr>
          <w:rFonts w:ascii="Arial" w:eastAsia="Times New Roman" w:hAnsi="Arial" w:cs="Arial"/>
        </w:rPr>
        <w:t xml:space="preserve">ed by </w:t>
      </w:r>
      <w:r w:rsidR="002F5992">
        <w:rPr>
          <w:rFonts w:ascii="Arial" w:eastAsia="Times New Roman" w:hAnsi="Arial" w:cs="Arial"/>
        </w:rPr>
        <w:t>regulatory LTR</w:t>
      </w:r>
      <w:r w:rsidRPr="007434A9">
        <w:rPr>
          <w:rFonts w:ascii="Arial" w:eastAsia="Times New Roman" w:hAnsi="Arial" w:cs="Arial"/>
        </w:rPr>
        <w:t xml:space="preserve"> target genes </w:t>
      </w:r>
      <w:r>
        <w:rPr>
          <w:rFonts w:ascii="Arial" w:eastAsia="Times New Roman" w:hAnsi="Arial" w:cs="Arial"/>
        </w:rPr>
        <w:t>may contribute to</w:t>
      </w:r>
      <w:r w:rsidR="00471987">
        <w:rPr>
          <w:rFonts w:ascii="Arial" w:eastAsia="Times New Roman" w:hAnsi="Arial" w:cs="Arial"/>
        </w:rPr>
        <w:t xml:space="preserve"> molecular</w:t>
      </w:r>
      <w:r>
        <w:rPr>
          <w:rFonts w:ascii="Arial" w:eastAsia="Times New Roman" w:hAnsi="Arial" w:cs="Arial"/>
        </w:rPr>
        <w:t xml:space="preserve"> pathogenesis </w:t>
      </w:r>
      <w:r w:rsidR="00667F2A">
        <w:rPr>
          <w:rFonts w:ascii="Arial" w:eastAsia="Times New Roman" w:hAnsi="Arial" w:cs="Arial"/>
        </w:rPr>
        <w:t>of an exceedingl</w:t>
      </w:r>
      <w:r w:rsidR="009E04FD">
        <w:rPr>
          <w:rFonts w:ascii="Arial" w:eastAsia="Times New Roman" w:hAnsi="Arial" w:cs="Arial"/>
        </w:rPr>
        <w:t>y lar</w:t>
      </w:r>
      <w:r w:rsidR="000D2A1E">
        <w:rPr>
          <w:rFonts w:ascii="Arial" w:eastAsia="Times New Roman" w:hAnsi="Arial" w:cs="Arial"/>
        </w:rPr>
        <w:t>ge number of human diseases, which exhibit</w:t>
      </w:r>
      <w:r w:rsidR="009E04FD">
        <w:rPr>
          <w:rFonts w:ascii="Arial" w:eastAsia="Times New Roman" w:hAnsi="Arial" w:cs="Arial"/>
        </w:rPr>
        <w:t xml:space="preserve"> highly diverse</w:t>
      </w:r>
      <w:r w:rsidR="005A40F5">
        <w:rPr>
          <w:rFonts w:ascii="Arial" w:eastAsia="Times New Roman" w:hAnsi="Arial" w:cs="Arial"/>
        </w:rPr>
        <w:t xml:space="preserve"> spectrum of</w:t>
      </w:r>
      <w:r w:rsidR="007A361B">
        <w:rPr>
          <w:rFonts w:ascii="Arial" w:eastAsia="Times New Roman" w:hAnsi="Arial" w:cs="Arial"/>
        </w:rPr>
        <w:t xml:space="preserve"> clinical manifestations including malignancies of different solid organs and hematopoietic system; blood</w:t>
      </w:r>
      <w:r w:rsidR="00A41649">
        <w:rPr>
          <w:rFonts w:ascii="Arial" w:eastAsia="Times New Roman" w:hAnsi="Arial" w:cs="Arial"/>
        </w:rPr>
        <w:t>, lymphatic</w:t>
      </w:r>
      <w:r w:rsidR="007A361B">
        <w:rPr>
          <w:rFonts w:ascii="Arial" w:eastAsia="Times New Roman" w:hAnsi="Arial" w:cs="Arial"/>
        </w:rPr>
        <w:t xml:space="preserve"> and endocrine system disorders; </w:t>
      </w:r>
      <w:proofErr w:type="spellStart"/>
      <w:r w:rsidR="00A41649">
        <w:rPr>
          <w:rFonts w:ascii="Arial" w:eastAsia="Times New Roman" w:hAnsi="Arial" w:cs="Arial"/>
        </w:rPr>
        <w:t>immunoinflammatory</w:t>
      </w:r>
      <w:proofErr w:type="spellEnd"/>
      <w:r w:rsidR="00A41649">
        <w:rPr>
          <w:rFonts w:ascii="Arial" w:eastAsia="Times New Roman" w:hAnsi="Arial" w:cs="Arial"/>
        </w:rPr>
        <w:t xml:space="preserve"> and autoimmune maladies; </w:t>
      </w:r>
      <w:r w:rsidR="007A361B">
        <w:rPr>
          <w:rFonts w:ascii="Arial" w:eastAsia="Times New Roman" w:hAnsi="Arial" w:cs="Arial"/>
        </w:rPr>
        <w:t xml:space="preserve">neurodevelopmental, neuropsychiatric, and neurodegenerative diseases. </w:t>
      </w: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Default="00FE6421" w:rsidP="00FE6421">
      <w:pPr>
        <w:autoSpaceDE w:val="0"/>
        <w:autoSpaceDN w:val="0"/>
        <w:adjustRightInd w:val="0"/>
        <w:spacing w:after="0" w:line="240" w:lineRule="auto"/>
        <w:rPr>
          <w:rFonts w:ascii="Arial" w:eastAsia="Times New Roman" w:hAnsi="Arial" w:cs="Arial"/>
        </w:rPr>
      </w:pPr>
    </w:p>
    <w:p w:rsidR="00FE6421" w:rsidRPr="00FE6421" w:rsidRDefault="00FE6421" w:rsidP="00FE6421">
      <w:pPr>
        <w:autoSpaceDE w:val="0"/>
        <w:autoSpaceDN w:val="0"/>
        <w:adjustRightInd w:val="0"/>
        <w:spacing w:after="0" w:line="240" w:lineRule="auto"/>
        <w:rPr>
          <w:rFonts w:ascii="Arial" w:eastAsia="Times New Roman" w:hAnsi="Arial" w:cs="Arial"/>
          <w:b/>
        </w:rPr>
      </w:pPr>
      <w:r w:rsidRPr="00FE6421">
        <w:rPr>
          <w:rFonts w:ascii="Arial" w:eastAsia="Times New Roman" w:hAnsi="Arial" w:cs="Arial"/>
          <w:b/>
        </w:rPr>
        <w:lastRenderedPageBreak/>
        <w:t>Figure legends</w:t>
      </w:r>
    </w:p>
    <w:p w:rsidR="004C480D" w:rsidRDefault="004C480D" w:rsidP="00A71EB1">
      <w:pPr>
        <w:autoSpaceDE w:val="0"/>
        <w:autoSpaceDN w:val="0"/>
        <w:adjustRightInd w:val="0"/>
        <w:spacing w:after="0" w:line="240" w:lineRule="auto"/>
        <w:rPr>
          <w:rFonts w:ascii="Arial" w:hAnsi="Arial" w:cs="Arial"/>
        </w:rPr>
      </w:pPr>
    </w:p>
    <w:p w:rsidR="007D74AD" w:rsidRDefault="007D74AD" w:rsidP="007D74AD">
      <w:pPr>
        <w:rPr>
          <w:rFonts w:ascii="Arial" w:hAnsi="Arial"/>
        </w:rPr>
      </w:pPr>
      <w:r w:rsidRPr="00153145">
        <w:rPr>
          <w:rFonts w:ascii="Arial" w:hAnsi="Arial"/>
          <w:b/>
        </w:rPr>
        <w:t>Figure 4.</w:t>
      </w:r>
      <w:r>
        <w:rPr>
          <w:rFonts w:ascii="Arial" w:hAnsi="Arial"/>
        </w:rPr>
        <w:t xml:space="preserve"> Graphical summaries of Directed Acyclic Graph (DAG) analyses of the GSEA-defined networks of protein-protein interactions (PPI) consisting of 88 human embryo </w:t>
      </w:r>
      <w:r w:rsidR="002F5992">
        <w:rPr>
          <w:rFonts w:ascii="Arial" w:hAnsi="Arial"/>
        </w:rPr>
        <w:t>regulatory LTR</w:t>
      </w:r>
      <w:r>
        <w:rPr>
          <w:rFonts w:ascii="Arial" w:hAnsi="Arial"/>
        </w:rPr>
        <w:t xml:space="preserve">s and 34 down-stream target genes. Panels (A – I) reports graphical summaries of DAG analyses of the GSEA-defined PPI networks of 34 genes linked with 88 </w:t>
      </w:r>
      <w:r w:rsidR="002F5992">
        <w:rPr>
          <w:rFonts w:ascii="Arial" w:hAnsi="Arial"/>
        </w:rPr>
        <w:t>regulatory LTR</w:t>
      </w:r>
      <w:r>
        <w:rPr>
          <w:rFonts w:ascii="Arial" w:hAnsi="Arial"/>
        </w:rPr>
        <w:t xml:space="preserve">s. Hierarchical networks were generated by the GREAT algorithm using as an input genomic coordinates of 88 human embryo </w:t>
      </w:r>
      <w:r w:rsidR="002F5992">
        <w:rPr>
          <w:rFonts w:ascii="Arial" w:hAnsi="Arial"/>
        </w:rPr>
        <w:t>regulatory LTR</w:t>
      </w:r>
      <w:r>
        <w:rPr>
          <w:rFonts w:ascii="Arial" w:hAnsi="Arial"/>
        </w:rPr>
        <w:t xml:space="preserve"> loci assigned by the GREAT to the core set of 34 genes of the PPI networks engaged in PPI with 121 transcription factors (Transcription Factors’ PPI database) and 124 PPI Hub proteins (PPI Hub Proteins database). Hierarchical networks of local DAG are shown for significantly enriched terms in GO Biological Process annotations [A; B; 142 significantly-enriched terms shown in (A) as an array of bars sorted in descending order of the log10(Binominal p values) and reported in (B) as local DAG of a developmental hierarchical network]; GO Cellular Component annotations [C; D; 6 significantly-enriched terms shown in (C) as an array of bars sorted in descending order of the log10(Binominal p values) and reported in (D) as local DAG of a developmental hierarchical network]; GO Molecular Function annotations [E; F; 4 significantly-enriched terms shown in (E) as an array of bars sorted in descending order of the log10(Binominal p values) and reported in (F) as local DAG of a developmental hierarchical network]; Mouse Phenotype annotations [G; H; 327 significantly-enriched terms shown in (G) as an array of bars sorted in descending order of the log10(Binominal p values) and reported in (H) as local DAG of a developmental hierarchical network]; Mouse Phenotype Single KO annotations [I; J; 69 significantly-enriched terms shown in (I) as an array of bars sorted in descending order of the log10(Binominal p values) and reported in (J) as local DAG of a developmental hierarchical network]. Complete tabular data and graphical summary reports pertinent to statistical, genomic, molecular, and phenotypic attributes of </w:t>
      </w:r>
      <w:r w:rsidR="002F5992">
        <w:rPr>
          <w:rFonts w:ascii="Arial" w:hAnsi="Arial"/>
        </w:rPr>
        <w:t>regulatory LTR</w:t>
      </w:r>
      <w:r>
        <w:rPr>
          <w:rFonts w:ascii="Arial" w:hAnsi="Arial"/>
        </w:rPr>
        <w:t>-linked GSEA-defined Genomic Regulatory Pathways (GRPs)</w:t>
      </w:r>
      <w:r>
        <w:rPr>
          <w:rFonts w:ascii="Arial" w:hAnsi="Arial" w:cs="Arial"/>
        </w:rPr>
        <w:t xml:space="preserve"> and their constituent Genomic Regulatory Modules (GRMs) </w:t>
      </w:r>
      <w:r>
        <w:rPr>
          <w:rFonts w:ascii="Arial" w:hAnsi="Arial"/>
        </w:rPr>
        <w:t xml:space="preserve">associated with human embryo </w:t>
      </w:r>
      <w:r w:rsidR="002F5992">
        <w:rPr>
          <w:rFonts w:ascii="Arial" w:hAnsi="Arial"/>
        </w:rPr>
        <w:t>regulatory LTR</w:t>
      </w:r>
      <w:r>
        <w:rPr>
          <w:rFonts w:ascii="Arial" w:hAnsi="Arial"/>
        </w:rPr>
        <w:t xml:space="preserve"> elements are presented in the text; Tables 5 – 6; and Supplementary Materials (Supplementary Table S1; Supplementary Figure S1; Supplementary Summaries S4-S5; Supplementary Data Set S2). </w:t>
      </w:r>
    </w:p>
    <w:p w:rsidR="007D74AD" w:rsidRDefault="007D74AD" w:rsidP="007D74AD">
      <w:pPr>
        <w:rPr>
          <w:rFonts w:ascii="Arial" w:hAnsi="Arial"/>
        </w:rPr>
      </w:pPr>
      <w:r w:rsidRPr="00FD1B46">
        <w:rPr>
          <w:rFonts w:ascii="Arial" w:hAnsi="Arial"/>
          <w:b/>
        </w:rPr>
        <w:t>Figure 5.</w:t>
      </w:r>
      <w:r>
        <w:rPr>
          <w:rFonts w:ascii="Arial" w:hAnsi="Arial"/>
        </w:rPr>
        <w:t xml:space="preserve"> Visualization patterns of GSEA of </w:t>
      </w:r>
      <w:r w:rsidR="002F5992">
        <w:rPr>
          <w:rFonts w:ascii="Arial" w:hAnsi="Arial"/>
        </w:rPr>
        <w:t>regulatory LTR</w:t>
      </w:r>
      <w:r>
        <w:rPr>
          <w:rFonts w:ascii="Arial" w:hAnsi="Arial"/>
        </w:rPr>
        <w:t>s down-stream targets comprising 5444 genes (A; B; E – H) and 34 genes (B; C) vis-a-vis of GSEA of 240 genes (D – H) encoding proteins engaged in</w:t>
      </w:r>
      <w:r w:rsidRPr="00D5269B">
        <w:rPr>
          <w:rFonts w:ascii="Arial" w:hAnsi="Arial"/>
        </w:rPr>
        <w:t xml:space="preserve"> PPI network</w:t>
      </w:r>
      <w:r>
        <w:rPr>
          <w:rFonts w:ascii="Arial" w:hAnsi="Arial"/>
        </w:rPr>
        <w:t xml:space="preserve">s associated with 34 LTR target genes. Panel (A) shows a </w:t>
      </w:r>
      <w:proofErr w:type="spellStart"/>
      <w:r>
        <w:rPr>
          <w:rFonts w:ascii="Arial" w:hAnsi="Arial"/>
        </w:rPr>
        <w:t>clustergram</w:t>
      </w:r>
      <w:proofErr w:type="spellEnd"/>
      <w:r>
        <w:rPr>
          <w:rFonts w:ascii="Arial" w:hAnsi="Arial"/>
        </w:rPr>
        <w:t xml:space="preserve"> visualization of GSEA of 5444 genes comprising a cumulative set of down-stream regulatory targets of human embryo </w:t>
      </w:r>
      <w:r w:rsidR="002F5992">
        <w:rPr>
          <w:rFonts w:ascii="Arial" w:hAnsi="Arial"/>
        </w:rPr>
        <w:t>regulatory LTR</w:t>
      </w:r>
      <w:r>
        <w:rPr>
          <w:rFonts w:ascii="Arial" w:hAnsi="Arial"/>
        </w:rPr>
        <w:t>s employing the OMIM Expanded PPI database of human disease-causing genes (</w:t>
      </w:r>
      <w:proofErr w:type="spellStart"/>
      <w:r>
        <w:rPr>
          <w:rFonts w:ascii="Arial" w:hAnsi="Arial"/>
        </w:rPr>
        <w:t>Enrichr</w:t>
      </w:r>
      <w:proofErr w:type="spellEnd"/>
      <w:r>
        <w:rPr>
          <w:rFonts w:ascii="Arial" w:hAnsi="Arial"/>
        </w:rPr>
        <w:t xml:space="preserve">). Note the uniform pattern of engagement of 34 genes in PPI with protein products of disease-causing genes implicated in thousands common human disorders. Top-scoring 30 of 175 significantly enriched records are shown. Panel (B) reports a scatter plot visualization of GSEA of 5444 genes (left scatter plots) and 34 genes (right scatter plots) employing the Transcription Factors PPI database (top scatter plots) and the Hub Proteins PPI database (bottom scatter plots). Panel (C) reports a </w:t>
      </w:r>
      <w:proofErr w:type="spellStart"/>
      <w:r>
        <w:rPr>
          <w:rFonts w:ascii="Arial" w:hAnsi="Arial"/>
        </w:rPr>
        <w:t>clustergram</w:t>
      </w:r>
      <w:proofErr w:type="spellEnd"/>
      <w:r>
        <w:rPr>
          <w:rFonts w:ascii="Arial" w:hAnsi="Arial"/>
        </w:rPr>
        <w:t xml:space="preserve"> visualization of GSEA of 34 genes employing the Transcription Factors PPI database (left </w:t>
      </w:r>
      <w:proofErr w:type="spellStart"/>
      <w:r>
        <w:rPr>
          <w:rFonts w:ascii="Arial" w:hAnsi="Arial"/>
        </w:rPr>
        <w:t>clustergram</w:t>
      </w:r>
      <w:proofErr w:type="spellEnd"/>
      <w:r>
        <w:rPr>
          <w:rFonts w:ascii="Arial" w:hAnsi="Arial"/>
        </w:rPr>
        <w:t xml:space="preserve">) and the Hub Proteins PPI database (right </w:t>
      </w:r>
      <w:proofErr w:type="spellStart"/>
      <w:r>
        <w:rPr>
          <w:rFonts w:ascii="Arial" w:hAnsi="Arial"/>
        </w:rPr>
        <w:t>clustergram</w:t>
      </w:r>
      <w:proofErr w:type="spellEnd"/>
      <w:r>
        <w:rPr>
          <w:rFonts w:ascii="Arial" w:hAnsi="Arial"/>
        </w:rPr>
        <w:t xml:space="preserve">). Top 30 of 121 (Transcription Factors PPI database) and top 30 of 124 (Hub Proteins PPI database) significantly enriched records are shown. Panel (D) reports a </w:t>
      </w:r>
      <w:proofErr w:type="spellStart"/>
      <w:r>
        <w:rPr>
          <w:rFonts w:ascii="Arial" w:hAnsi="Arial"/>
        </w:rPr>
        <w:t>clustergram</w:t>
      </w:r>
      <w:proofErr w:type="spellEnd"/>
      <w:r>
        <w:rPr>
          <w:rFonts w:ascii="Arial" w:hAnsi="Arial"/>
        </w:rPr>
        <w:t xml:space="preserve"> visualization of GSEA of 240 genes employing the Transcription Factors PPI database (left </w:t>
      </w:r>
      <w:proofErr w:type="spellStart"/>
      <w:r>
        <w:rPr>
          <w:rFonts w:ascii="Arial" w:hAnsi="Arial"/>
        </w:rPr>
        <w:t>clustergram</w:t>
      </w:r>
      <w:proofErr w:type="spellEnd"/>
      <w:r>
        <w:rPr>
          <w:rFonts w:ascii="Arial" w:hAnsi="Arial"/>
        </w:rPr>
        <w:t xml:space="preserve">) and the Hub Proteins PPI database (right </w:t>
      </w:r>
      <w:proofErr w:type="spellStart"/>
      <w:r>
        <w:rPr>
          <w:rFonts w:ascii="Arial" w:hAnsi="Arial"/>
        </w:rPr>
        <w:t>clustergram</w:t>
      </w:r>
      <w:proofErr w:type="spellEnd"/>
      <w:r>
        <w:rPr>
          <w:rFonts w:ascii="Arial" w:hAnsi="Arial"/>
        </w:rPr>
        <w:t xml:space="preserve">). Top 30 of 268 (Transcription Factors PPI database) and top 30 of 228 (Hub Proteins PPI database) significantly enriched records are shown. Panels (E – G) reports results of GSEA of 5444 genes (left figures) and 240 genes (right figures) employing the </w:t>
      </w:r>
      <w:proofErr w:type="spellStart"/>
      <w:r>
        <w:rPr>
          <w:rFonts w:ascii="Arial" w:hAnsi="Arial"/>
        </w:rPr>
        <w:t>DisGeNET</w:t>
      </w:r>
      <w:proofErr w:type="spellEnd"/>
      <w:r>
        <w:rPr>
          <w:rFonts w:ascii="Arial" w:hAnsi="Arial"/>
        </w:rPr>
        <w:t xml:space="preserve"> database of common human disorders. Panel (E) reports top 10 of 477 (left set of bars; GSEA of 5444 genes) and top 10 of 3298 (right set of bars; GSEA of 240 genes) significantly enriched records. Panel (F) shows a </w:t>
      </w:r>
      <w:proofErr w:type="spellStart"/>
      <w:r>
        <w:rPr>
          <w:rFonts w:ascii="Arial" w:hAnsi="Arial"/>
        </w:rPr>
        <w:t>clustergram</w:t>
      </w:r>
      <w:proofErr w:type="spellEnd"/>
      <w:r>
        <w:rPr>
          <w:rFonts w:ascii="Arial" w:hAnsi="Arial"/>
        </w:rPr>
        <w:t xml:space="preserve"> visualization of top 30 of 477 (left </w:t>
      </w:r>
      <w:proofErr w:type="spellStart"/>
      <w:r>
        <w:rPr>
          <w:rFonts w:ascii="Arial" w:hAnsi="Arial"/>
        </w:rPr>
        <w:t>clustergram</w:t>
      </w:r>
      <w:proofErr w:type="spellEnd"/>
      <w:r>
        <w:rPr>
          <w:rFonts w:ascii="Arial" w:hAnsi="Arial"/>
        </w:rPr>
        <w:t xml:space="preserve">; GSEA of 5444 genes) and top 30 of 3298 (right </w:t>
      </w:r>
      <w:proofErr w:type="spellStart"/>
      <w:r>
        <w:rPr>
          <w:rFonts w:ascii="Arial" w:hAnsi="Arial"/>
        </w:rPr>
        <w:t>clustergram</w:t>
      </w:r>
      <w:proofErr w:type="spellEnd"/>
      <w:r>
        <w:rPr>
          <w:rFonts w:ascii="Arial" w:hAnsi="Arial"/>
        </w:rPr>
        <w:t xml:space="preserve">; GSEA of 240 genes) significantly enriched records. Panel (G) reports a scatter plot visualization of 477 (left set of bars; GSEA of 5444 genes) and of 3298 (right set of bars; GSEA of 240 genes) significantly enriched records. Panel (H) a </w:t>
      </w:r>
      <w:proofErr w:type="spellStart"/>
      <w:r>
        <w:rPr>
          <w:rFonts w:ascii="Arial" w:hAnsi="Arial"/>
        </w:rPr>
        <w:t>clustergram</w:t>
      </w:r>
      <w:proofErr w:type="spellEnd"/>
      <w:r>
        <w:rPr>
          <w:rFonts w:ascii="Arial" w:hAnsi="Arial"/>
        </w:rPr>
        <w:t xml:space="preserve"> visualization of top 30 of 1095 (left </w:t>
      </w:r>
      <w:proofErr w:type="spellStart"/>
      <w:r>
        <w:rPr>
          <w:rFonts w:ascii="Arial" w:hAnsi="Arial"/>
        </w:rPr>
        <w:t>clustergram</w:t>
      </w:r>
      <w:proofErr w:type="spellEnd"/>
      <w:r>
        <w:rPr>
          <w:rFonts w:ascii="Arial" w:hAnsi="Arial"/>
        </w:rPr>
        <w:t xml:space="preserve">; GSEA of 5444 genes) and top 30 of 199 (right </w:t>
      </w:r>
      <w:proofErr w:type="spellStart"/>
      <w:r>
        <w:rPr>
          <w:rFonts w:ascii="Arial" w:hAnsi="Arial"/>
        </w:rPr>
        <w:t>clustergram</w:t>
      </w:r>
      <w:proofErr w:type="spellEnd"/>
      <w:r>
        <w:rPr>
          <w:rFonts w:ascii="Arial" w:hAnsi="Arial"/>
        </w:rPr>
        <w:t xml:space="preserve">; </w:t>
      </w:r>
      <w:r>
        <w:rPr>
          <w:rFonts w:ascii="Arial" w:hAnsi="Arial"/>
        </w:rPr>
        <w:lastRenderedPageBreak/>
        <w:t xml:space="preserve">GSEA of 240 genes) significantly enriched records identified employing the </w:t>
      </w:r>
      <w:proofErr w:type="spellStart"/>
      <w:r>
        <w:rPr>
          <w:rFonts w:ascii="Arial" w:hAnsi="Arial"/>
        </w:rPr>
        <w:t>Orphanet</w:t>
      </w:r>
      <w:proofErr w:type="spellEnd"/>
      <w:r>
        <w:rPr>
          <w:rFonts w:ascii="Arial" w:hAnsi="Arial"/>
        </w:rPr>
        <w:t xml:space="preserve"> Augmented 2021 database of human orphan disorders (</w:t>
      </w:r>
      <w:proofErr w:type="spellStart"/>
      <w:r>
        <w:rPr>
          <w:rFonts w:ascii="Arial" w:hAnsi="Arial"/>
        </w:rPr>
        <w:t>Enrichr</w:t>
      </w:r>
      <w:proofErr w:type="spellEnd"/>
      <w:r>
        <w:rPr>
          <w:rFonts w:ascii="Arial" w:hAnsi="Arial"/>
        </w:rPr>
        <w:t xml:space="preserve">). Significance threshold levels were set at adjusted p value &lt; 0.05 (Methods). Complete tabular data and graphical summary reports pertinent to statistical, genomic, molecular, and phenotypic attributes of </w:t>
      </w:r>
      <w:r w:rsidR="002F5992">
        <w:rPr>
          <w:rFonts w:ascii="Arial" w:hAnsi="Arial"/>
        </w:rPr>
        <w:t>regulatory LTR</w:t>
      </w:r>
      <w:r>
        <w:rPr>
          <w:rFonts w:ascii="Arial" w:hAnsi="Arial"/>
        </w:rPr>
        <w:t>-linked GSEA-defined Genomic Regulatory Pathways (GRPs)</w:t>
      </w:r>
      <w:r>
        <w:rPr>
          <w:rFonts w:ascii="Arial" w:hAnsi="Arial" w:cs="Arial"/>
        </w:rPr>
        <w:t xml:space="preserve"> and their constituent Genomic Regulatory Modules (GRMs) </w:t>
      </w:r>
      <w:r>
        <w:rPr>
          <w:rFonts w:ascii="Arial" w:hAnsi="Arial"/>
        </w:rPr>
        <w:t xml:space="preserve">associated with human embryo </w:t>
      </w:r>
      <w:r w:rsidR="002F5992">
        <w:rPr>
          <w:rFonts w:ascii="Arial" w:hAnsi="Arial"/>
        </w:rPr>
        <w:t>regulatory LTR</w:t>
      </w:r>
      <w:r>
        <w:rPr>
          <w:rFonts w:ascii="Arial" w:hAnsi="Arial"/>
        </w:rPr>
        <w:t xml:space="preserve"> elements are presented in the text; Tables 5 – 6; and Supplementary Materials (Supplementary Table S1; Supplementary Figure S1; Supplementary Summaries S4-S5; Supplementary Data Set S2). </w:t>
      </w:r>
    </w:p>
    <w:p w:rsidR="007D74AD" w:rsidRDefault="007D74AD" w:rsidP="007D74AD">
      <w:pPr>
        <w:rPr>
          <w:rFonts w:ascii="Arial" w:hAnsi="Arial"/>
        </w:rPr>
      </w:pPr>
      <w:r w:rsidRPr="000F18BF">
        <w:rPr>
          <w:rFonts w:ascii="Arial" w:hAnsi="Arial"/>
          <w:b/>
        </w:rPr>
        <w:t>Figure 6.</w:t>
      </w:r>
      <w:r>
        <w:rPr>
          <w:rFonts w:ascii="Arial" w:hAnsi="Arial"/>
        </w:rPr>
        <w:t xml:space="preserve"> Visualization patterns of GSEA of retroviral 34 genes comprising down-stream regulatory targets of 88 </w:t>
      </w:r>
      <w:r w:rsidR="002F5992">
        <w:rPr>
          <w:rFonts w:ascii="Arial" w:hAnsi="Arial"/>
        </w:rPr>
        <w:t>regulatory LTR</w:t>
      </w:r>
      <w:r>
        <w:rPr>
          <w:rFonts w:ascii="Arial" w:hAnsi="Arial"/>
        </w:rPr>
        <w:t>s vis-a-vis of GSEA of 240 genes encoding proteins that are engaged in</w:t>
      </w:r>
      <w:r w:rsidRPr="00D5269B">
        <w:rPr>
          <w:rFonts w:ascii="Arial" w:hAnsi="Arial"/>
        </w:rPr>
        <w:t xml:space="preserve"> PPI network</w:t>
      </w:r>
      <w:r>
        <w:rPr>
          <w:rFonts w:ascii="Arial" w:hAnsi="Arial"/>
        </w:rPr>
        <w:t xml:space="preserve">s associated with 34 </w:t>
      </w:r>
      <w:r w:rsidR="002F5992">
        <w:rPr>
          <w:rFonts w:ascii="Arial" w:hAnsi="Arial"/>
        </w:rPr>
        <w:t>regulatory LTR</w:t>
      </w:r>
      <w:r>
        <w:rPr>
          <w:rFonts w:ascii="Arial" w:hAnsi="Arial"/>
        </w:rPr>
        <w:t xml:space="preserve"> target genes. Panel (A) reports a scatter plot visualization of GSEA of 240 genes (268 significantly enriched records; left scatter plots) and 34 genes (121 significantly enriched records; right scatter plots) employing the Transcription Factors PPI database.</w:t>
      </w:r>
      <w:r w:rsidRPr="006D23EF">
        <w:rPr>
          <w:rFonts w:ascii="Arial" w:hAnsi="Arial"/>
        </w:rPr>
        <w:t xml:space="preserve"> </w:t>
      </w:r>
      <w:r>
        <w:rPr>
          <w:rFonts w:ascii="Arial" w:hAnsi="Arial"/>
        </w:rPr>
        <w:t xml:space="preserve">Panel (B) reports a scatter plot visualization of GSEA of 240 genes (228 significantly enriched records; left scatter plots) and 34 genes (124 significantly enriched records; right scatter plots) employing the Hub Proteins PPI database. Panel (C) shows graphical representations of protein-protein interaction networks identified by the </w:t>
      </w:r>
      <w:proofErr w:type="spellStart"/>
      <w:r>
        <w:rPr>
          <w:rFonts w:ascii="Arial" w:hAnsi="Arial"/>
        </w:rPr>
        <w:t>Enrichr</w:t>
      </w:r>
      <w:proofErr w:type="spellEnd"/>
      <w:r>
        <w:rPr>
          <w:rFonts w:ascii="Arial" w:hAnsi="Arial"/>
        </w:rPr>
        <w:t xml:space="preserve"> software (Methods) from GSEA reported in (A) and (B). Panel (D) reports a scatter plot visualization of GSEA of 240 genes (606 significantly enriched records; left scatter plots) and 34 genes (143 significantly enriched records; right scatter plots) employing the CORUM Protein Complexes database. Panel (E) reports a scatter plot visualization of GSEA of 240 genes (62 significantly enriched records; left scatter plots) and 34 genes (22 significantly enriched records; right scatter plots) employing the SILAC </w:t>
      </w:r>
      <w:proofErr w:type="spellStart"/>
      <w:r>
        <w:rPr>
          <w:rFonts w:ascii="Arial" w:hAnsi="Arial"/>
        </w:rPr>
        <w:t>Phosphoproteomics</w:t>
      </w:r>
      <w:proofErr w:type="spellEnd"/>
      <w:r>
        <w:rPr>
          <w:rFonts w:ascii="Arial" w:hAnsi="Arial"/>
        </w:rPr>
        <w:t xml:space="preserve"> database. Panel (F) reports a scatter plot visualization of GSEA of 240 genes (1783 significantly enriched records; left scatter plots) and 34 genes (no significantly enriched records at adjusted p value &lt; 0.05; right scatter plots) employing the NURSA Human Endogenous </w:t>
      </w:r>
      <w:proofErr w:type="spellStart"/>
      <w:r>
        <w:rPr>
          <w:rFonts w:ascii="Arial" w:hAnsi="Arial"/>
        </w:rPr>
        <w:t>Complexome</w:t>
      </w:r>
      <w:proofErr w:type="spellEnd"/>
      <w:r>
        <w:rPr>
          <w:rFonts w:ascii="Arial" w:hAnsi="Arial"/>
        </w:rPr>
        <w:t xml:space="preserve"> database. Panel (G) shows graphical representations of protein-protein interaction networks identified by the </w:t>
      </w:r>
      <w:proofErr w:type="spellStart"/>
      <w:r>
        <w:rPr>
          <w:rFonts w:ascii="Arial" w:hAnsi="Arial"/>
        </w:rPr>
        <w:t>Enrichr</w:t>
      </w:r>
      <w:proofErr w:type="spellEnd"/>
      <w:r>
        <w:rPr>
          <w:rFonts w:ascii="Arial" w:hAnsi="Arial"/>
        </w:rPr>
        <w:t xml:space="preserve"> software (Methods) from GSEA reported in (D - F). Panel (H) shows a </w:t>
      </w:r>
      <w:proofErr w:type="spellStart"/>
      <w:r>
        <w:rPr>
          <w:rFonts w:ascii="Arial" w:hAnsi="Arial"/>
        </w:rPr>
        <w:t>clustergram</w:t>
      </w:r>
      <w:proofErr w:type="spellEnd"/>
      <w:r>
        <w:rPr>
          <w:rFonts w:ascii="Arial" w:hAnsi="Arial"/>
        </w:rPr>
        <w:t xml:space="preserve"> visualization of GSEA of 240 genes that are engaged in</w:t>
      </w:r>
      <w:r w:rsidRPr="00D5269B">
        <w:rPr>
          <w:rFonts w:ascii="Arial" w:hAnsi="Arial"/>
        </w:rPr>
        <w:t xml:space="preserve"> PPI network</w:t>
      </w:r>
      <w:r>
        <w:rPr>
          <w:rFonts w:ascii="Arial" w:hAnsi="Arial"/>
        </w:rPr>
        <w:t xml:space="preserve">s associated with 34 </w:t>
      </w:r>
      <w:r w:rsidR="002F5992">
        <w:rPr>
          <w:rFonts w:ascii="Arial" w:hAnsi="Arial"/>
        </w:rPr>
        <w:t>regulatory LTR</w:t>
      </w:r>
      <w:r>
        <w:rPr>
          <w:rFonts w:ascii="Arial" w:hAnsi="Arial"/>
        </w:rPr>
        <w:t xml:space="preserve"> target genes. Reported GSEA employed the OMIM Expanded PPI database of human disease-causing genes (</w:t>
      </w:r>
      <w:proofErr w:type="spellStart"/>
      <w:r>
        <w:rPr>
          <w:rFonts w:ascii="Arial" w:hAnsi="Arial"/>
        </w:rPr>
        <w:t>Enrichr</w:t>
      </w:r>
      <w:proofErr w:type="spellEnd"/>
      <w:r>
        <w:rPr>
          <w:rFonts w:ascii="Arial" w:hAnsi="Arial"/>
        </w:rPr>
        <w:t xml:space="preserve">). Note the uniform pattern of engagement of 51 genes in PPI with protein products of disease-causing genes implicated in pathogenesis of 3298 common human disorders [Figure 5F (right panel); GSEA of the </w:t>
      </w:r>
      <w:proofErr w:type="spellStart"/>
      <w:r>
        <w:rPr>
          <w:rFonts w:ascii="Arial" w:hAnsi="Arial"/>
        </w:rPr>
        <w:t>DisGeNET</w:t>
      </w:r>
      <w:proofErr w:type="spellEnd"/>
      <w:r>
        <w:rPr>
          <w:rFonts w:ascii="Arial" w:hAnsi="Arial"/>
        </w:rPr>
        <w:t xml:space="preserve"> database]. Top-scoring 30 of 181 significantly enriched records are shown. Significance threshold levels were set at adjusted p value &lt; 0.05 (Methods). Complete tabular data and graphical summary reports pertinent to statistical, genomic, molecular, and phenotypic attributes of </w:t>
      </w:r>
      <w:r w:rsidR="002F5992">
        <w:rPr>
          <w:rFonts w:ascii="Arial" w:hAnsi="Arial"/>
        </w:rPr>
        <w:t>regulatory LTR</w:t>
      </w:r>
      <w:r>
        <w:rPr>
          <w:rFonts w:ascii="Arial" w:hAnsi="Arial"/>
        </w:rPr>
        <w:t>-linked GSEA-defined Genomic Regulatory Pathways (GRPs)</w:t>
      </w:r>
      <w:r>
        <w:rPr>
          <w:rFonts w:ascii="Arial" w:hAnsi="Arial" w:cs="Arial"/>
        </w:rPr>
        <w:t xml:space="preserve"> and their constituent Genomic Regulatory Modules (GRMs) </w:t>
      </w:r>
      <w:r>
        <w:rPr>
          <w:rFonts w:ascii="Arial" w:hAnsi="Arial"/>
        </w:rPr>
        <w:t xml:space="preserve">associated with human embryo </w:t>
      </w:r>
      <w:r w:rsidR="002F5992">
        <w:rPr>
          <w:rFonts w:ascii="Arial" w:hAnsi="Arial"/>
        </w:rPr>
        <w:t>regulatory LTR</w:t>
      </w:r>
      <w:r>
        <w:rPr>
          <w:rFonts w:ascii="Arial" w:hAnsi="Arial"/>
        </w:rPr>
        <w:t xml:space="preserve"> elements are presented in the text; Tables 5 – 6; and Supplementary Materials (Supplementary Table S1; Supplementary Figure S1; Supplementary Summaries S4-S5; Supplementary Data Set S2). </w:t>
      </w:r>
    </w:p>
    <w:p w:rsidR="008B50C1" w:rsidRDefault="008B50C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pPr>
    </w:p>
    <w:p w:rsidR="00FE6421" w:rsidRDefault="00FE6421" w:rsidP="007D74AD">
      <w:pPr>
        <w:rPr>
          <w:rFonts w:ascii="Arial" w:hAnsi="Arial"/>
          <w:b/>
        </w:rPr>
        <w:sectPr w:rsidR="00FE6421" w:rsidSect="00FE6421">
          <w:headerReference w:type="even" r:id="rId8"/>
          <w:headerReference w:type="default" r:id="rId9"/>
          <w:footerReference w:type="even" r:id="rId10"/>
          <w:footerReference w:type="default" r:id="rId11"/>
          <w:headerReference w:type="first" r:id="rId12"/>
          <w:footerReference w:type="first" r:id="rId13"/>
          <w:pgSz w:w="12240" w:h="15840"/>
          <w:pgMar w:top="720" w:right="720" w:bottom="720" w:left="720" w:header="720" w:footer="720" w:gutter="0"/>
          <w:cols w:space="720"/>
          <w:docGrid w:linePitch="360"/>
        </w:sectPr>
      </w:pPr>
    </w:p>
    <w:p w:rsidR="006A1611" w:rsidRDefault="00E1589A" w:rsidP="00F30743">
      <w:pPr>
        <w:autoSpaceDE w:val="0"/>
        <w:autoSpaceDN w:val="0"/>
        <w:adjustRightInd w:val="0"/>
        <w:spacing w:after="0" w:line="240" w:lineRule="auto"/>
        <w:rPr>
          <w:rFonts w:ascii="Arial" w:hAnsi="Arial" w:cs="Arial"/>
          <w:b/>
        </w:rPr>
      </w:pPr>
      <w:r w:rsidRPr="006A1611">
        <w:rPr>
          <w:rFonts w:ascii="Arial" w:hAnsi="Arial" w:cs="Arial"/>
          <w:b/>
        </w:rPr>
        <w:object w:dxaOrig="11377" w:dyaOrig="315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30pt;height:552pt" o:ole="">
            <v:imagedata r:id="rId14" o:title=""/>
          </v:shape>
          <o:OLEObject Type="Embed" ProgID="Acrobat.Document.DC" ShapeID="_x0000_i1027" DrawAspect="Content" ObjectID="_1791823380" r:id="rId15"/>
        </w:object>
      </w:r>
      <w:r>
        <w:rPr>
          <w:rFonts w:ascii="Arial" w:hAnsi="Arial" w:cs="Arial"/>
          <w:b/>
        </w:rPr>
        <w:t>Figure 4.</w:t>
      </w:r>
      <w:bookmarkStart w:id="0" w:name="_GoBack"/>
      <w:bookmarkEnd w:id="0"/>
    </w:p>
    <w:p w:rsidR="00E1589A" w:rsidRDefault="00E1589A" w:rsidP="00F30743">
      <w:pPr>
        <w:autoSpaceDE w:val="0"/>
        <w:autoSpaceDN w:val="0"/>
        <w:adjustRightInd w:val="0"/>
        <w:spacing w:after="0" w:line="240" w:lineRule="auto"/>
        <w:rPr>
          <w:rFonts w:ascii="Arial" w:hAnsi="Arial" w:cs="Arial"/>
          <w:b/>
        </w:rPr>
      </w:pPr>
      <w:r w:rsidRPr="00E1589A">
        <w:rPr>
          <w:rFonts w:ascii="Arial" w:hAnsi="Arial" w:cs="Arial"/>
          <w:b/>
        </w:rPr>
        <w:object w:dxaOrig="11400" w:dyaOrig="13716">
          <v:shape id="_x0000_i1025" type="#_x0000_t75" style="width:450pt;height:546pt" o:ole="">
            <v:imagedata r:id="rId16" o:title=""/>
          </v:shape>
          <o:OLEObject Type="Embed" ProgID="Acrobat.Document.DC" ShapeID="_x0000_i1025" DrawAspect="Content" ObjectID="_1791823381" r:id="rId17"/>
        </w:object>
      </w:r>
      <w:r>
        <w:rPr>
          <w:rFonts w:ascii="Arial" w:hAnsi="Arial" w:cs="Arial"/>
          <w:b/>
        </w:rPr>
        <w:t>Figure 5.</w:t>
      </w:r>
    </w:p>
    <w:p w:rsidR="006A1611" w:rsidRPr="0044518F" w:rsidRDefault="00E1589A" w:rsidP="00F30743">
      <w:pPr>
        <w:autoSpaceDE w:val="0"/>
        <w:autoSpaceDN w:val="0"/>
        <w:adjustRightInd w:val="0"/>
        <w:spacing w:after="0" w:line="240" w:lineRule="auto"/>
        <w:rPr>
          <w:rFonts w:ascii="Arial" w:hAnsi="Arial" w:cs="Arial"/>
          <w:b/>
        </w:rPr>
      </w:pPr>
      <w:r w:rsidRPr="00E1589A">
        <w:rPr>
          <w:rFonts w:ascii="Arial" w:hAnsi="Arial" w:cs="Arial"/>
          <w:b/>
        </w:rPr>
        <w:object w:dxaOrig="11280" w:dyaOrig="13440">
          <v:shape id="_x0000_i1026" type="#_x0000_t75" style="width:444pt;height:546.6pt" o:ole="">
            <v:imagedata r:id="rId18" o:title=""/>
          </v:shape>
          <o:OLEObject Type="Embed" ProgID="Acrobat.Document.DC" ShapeID="_x0000_i1026" DrawAspect="Content" ObjectID="_1791823382" r:id="rId19"/>
        </w:object>
      </w:r>
      <w:r>
        <w:rPr>
          <w:rFonts w:ascii="Arial" w:hAnsi="Arial" w:cs="Arial"/>
          <w:b/>
        </w:rPr>
        <w:t>Figure 6.</w:t>
      </w:r>
    </w:p>
    <w:sectPr w:rsidR="006A1611" w:rsidRPr="0044518F" w:rsidSect="008B50C1">
      <w:pgSz w:w="15840" w:h="1224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114E" w:rsidRDefault="00D5114E" w:rsidP="00E20E4F">
      <w:pPr>
        <w:spacing w:after="0" w:line="240" w:lineRule="auto"/>
      </w:pPr>
      <w:r>
        <w:separator/>
      </w:r>
    </w:p>
  </w:endnote>
  <w:endnote w:type="continuationSeparator" w:id="0">
    <w:p w:rsidR="00D5114E" w:rsidRDefault="00D5114E" w:rsidP="00E2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4063173"/>
      <w:docPartObj>
        <w:docPartGallery w:val="Page Numbers (Bottom of Page)"/>
        <w:docPartUnique/>
      </w:docPartObj>
    </w:sdtPr>
    <w:sdtEndPr>
      <w:rPr>
        <w:noProof/>
      </w:rPr>
    </w:sdtEndPr>
    <w:sdtContent>
      <w:p w:rsidR="00A71EB1" w:rsidRDefault="00A71EB1">
        <w:pPr>
          <w:pStyle w:val="Footer"/>
          <w:jc w:val="right"/>
        </w:pPr>
        <w:r>
          <w:fldChar w:fldCharType="begin"/>
        </w:r>
        <w:r>
          <w:instrText xml:space="preserve"> PAGE   \* MERGEFORMAT </w:instrText>
        </w:r>
        <w:r>
          <w:fldChar w:fldCharType="separate"/>
        </w:r>
        <w:r w:rsidR="00840C5A">
          <w:rPr>
            <w:noProof/>
          </w:rPr>
          <w:t>7</w:t>
        </w:r>
        <w:r>
          <w:rPr>
            <w:noProof/>
          </w:rPr>
          <w:fldChar w:fldCharType="end"/>
        </w:r>
      </w:p>
    </w:sdtContent>
  </w:sdt>
  <w:p w:rsidR="00A71EB1" w:rsidRDefault="00A71EB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114E" w:rsidRDefault="00D5114E" w:rsidP="00E20E4F">
      <w:pPr>
        <w:spacing w:after="0" w:line="240" w:lineRule="auto"/>
      </w:pPr>
      <w:r>
        <w:separator/>
      </w:r>
    </w:p>
  </w:footnote>
  <w:footnote w:type="continuationSeparator" w:id="0">
    <w:p w:rsidR="00D5114E" w:rsidRDefault="00D5114E" w:rsidP="00E20E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1EB1" w:rsidRDefault="00A71E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FA22DF"/>
    <w:multiLevelType w:val="hybridMultilevel"/>
    <w:tmpl w:val="0DE44B92"/>
    <w:lvl w:ilvl="0" w:tplc="CEFE822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3B4"/>
    <w:rsid w:val="000002DA"/>
    <w:rsid w:val="0000087D"/>
    <w:rsid w:val="000048E2"/>
    <w:rsid w:val="00006FB0"/>
    <w:rsid w:val="00007A52"/>
    <w:rsid w:val="000127E6"/>
    <w:rsid w:val="000149AB"/>
    <w:rsid w:val="0002291A"/>
    <w:rsid w:val="00030F22"/>
    <w:rsid w:val="000323C6"/>
    <w:rsid w:val="00033C20"/>
    <w:rsid w:val="000353EE"/>
    <w:rsid w:val="00037720"/>
    <w:rsid w:val="00037751"/>
    <w:rsid w:val="00037782"/>
    <w:rsid w:val="00042B24"/>
    <w:rsid w:val="00045270"/>
    <w:rsid w:val="00045AF1"/>
    <w:rsid w:val="00047DF0"/>
    <w:rsid w:val="00053BBC"/>
    <w:rsid w:val="000562BC"/>
    <w:rsid w:val="000638D2"/>
    <w:rsid w:val="000645E8"/>
    <w:rsid w:val="000659A2"/>
    <w:rsid w:val="0007081F"/>
    <w:rsid w:val="00070950"/>
    <w:rsid w:val="00075490"/>
    <w:rsid w:val="00076C2E"/>
    <w:rsid w:val="00077633"/>
    <w:rsid w:val="00087AA0"/>
    <w:rsid w:val="000928F5"/>
    <w:rsid w:val="00092EDF"/>
    <w:rsid w:val="0009632E"/>
    <w:rsid w:val="000A0C68"/>
    <w:rsid w:val="000A1EAE"/>
    <w:rsid w:val="000A2FFB"/>
    <w:rsid w:val="000A3705"/>
    <w:rsid w:val="000A4AFD"/>
    <w:rsid w:val="000A4FC1"/>
    <w:rsid w:val="000A50D6"/>
    <w:rsid w:val="000A614E"/>
    <w:rsid w:val="000A6B87"/>
    <w:rsid w:val="000B12AD"/>
    <w:rsid w:val="000B2874"/>
    <w:rsid w:val="000B318D"/>
    <w:rsid w:val="000B4A50"/>
    <w:rsid w:val="000C02BD"/>
    <w:rsid w:val="000C13B7"/>
    <w:rsid w:val="000C159B"/>
    <w:rsid w:val="000C1826"/>
    <w:rsid w:val="000C1B86"/>
    <w:rsid w:val="000C2954"/>
    <w:rsid w:val="000C4A92"/>
    <w:rsid w:val="000C6172"/>
    <w:rsid w:val="000C6616"/>
    <w:rsid w:val="000D0A25"/>
    <w:rsid w:val="000D12D5"/>
    <w:rsid w:val="000D2A1E"/>
    <w:rsid w:val="000D533F"/>
    <w:rsid w:val="000D625C"/>
    <w:rsid w:val="000D668A"/>
    <w:rsid w:val="000E093D"/>
    <w:rsid w:val="000E37F7"/>
    <w:rsid w:val="000E5C58"/>
    <w:rsid w:val="000E6574"/>
    <w:rsid w:val="000E711F"/>
    <w:rsid w:val="000E720A"/>
    <w:rsid w:val="000E7686"/>
    <w:rsid w:val="000F0BBA"/>
    <w:rsid w:val="000F2348"/>
    <w:rsid w:val="000F43A9"/>
    <w:rsid w:val="000F6A18"/>
    <w:rsid w:val="000F6C8B"/>
    <w:rsid w:val="00100702"/>
    <w:rsid w:val="00100FE1"/>
    <w:rsid w:val="001010C4"/>
    <w:rsid w:val="00106AD4"/>
    <w:rsid w:val="00107F60"/>
    <w:rsid w:val="0011221D"/>
    <w:rsid w:val="00112289"/>
    <w:rsid w:val="0011282A"/>
    <w:rsid w:val="00113180"/>
    <w:rsid w:val="001145C5"/>
    <w:rsid w:val="00115076"/>
    <w:rsid w:val="001163B1"/>
    <w:rsid w:val="00116704"/>
    <w:rsid w:val="00116A0F"/>
    <w:rsid w:val="00122869"/>
    <w:rsid w:val="001234ED"/>
    <w:rsid w:val="00127EB6"/>
    <w:rsid w:val="0013005B"/>
    <w:rsid w:val="00130CE4"/>
    <w:rsid w:val="001319A2"/>
    <w:rsid w:val="001324D7"/>
    <w:rsid w:val="001415F7"/>
    <w:rsid w:val="001419D9"/>
    <w:rsid w:val="00142568"/>
    <w:rsid w:val="00143C92"/>
    <w:rsid w:val="001455A0"/>
    <w:rsid w:val="001549D0"/>
    <w:rsid w:val="001561CF"/>
    <w:rsid w:val="00157DC9"/>
    <w:rsid w:val="001612AC"/>
    <w:rsid w:val="001636B3"/>
    <w:rsid w:val="001663A2"/>
    <w:rsid w:val="00167CF3"/>
    <w:rsid w:val="00170773"/>
    <w:rsid w:val="0017634A"/>
    <w:rsid w:val="001768C5"/>
    <w:rsid w:val="00176F41"/>
    <w:rsid w:val="001816AB"/>
    <w:rsid w:val="00181EF1"/>
    <w:rsid w:val="00182EA1"/>
    <w:rsid w:val="00184C68"/>
    <w:rsid w:val="0018514D"/>
    <w:rsid w:val="00185346"/>
    <w:rsid w:val="0018538C"/>
    <w:rsid w:val="001866F8"/>
    <w:rsid w:val="00187527"/>
    <w:rsid w:val="00187E77"/>
    <w:rsid w:val="00190150"/>
    <w:rsid w:val="001913EC"/>
    <w:rsid w:val="00195A9A"/>
    <w:rsid w:val="00196659"/>
    <w:rsid w:val="001A0A8E"/>
    <w:rsid w:val="001A62AD"/>
    <w:rsid w:val="001B0C94"/>
    <w:rsid w:val="001C0263"/>
    <w:rsid w:val="001C238F"/>
    <w:rsid w:val="001C568C"/>
    <w:rsid w:val="001D1218"/>
    <w:rsid w:val="001D4562"/>
    <w:rsid w:val="001D7695"/>
    <w:rsid w:val="001E07C6"/>
    <w:rsid w:val="001E21A1"/>
    <w:rsid w:val="001E2B7F"/>
    <w:rsid w:val="001E3E0C"/>
    <w:rsid w:val="001E66DF"/>
    <w:rsid w:val="001F0240"/>
    <w:rsid w:val="001F1D1E"/>
    <w:rsid w:val="001F25C3"/>
    <w:rsid w:val="001F4EA4"/>
    <w:rsid w:val="001F6A6C"/>
    <w:rsid w:val="001F7FB3"/>
    <w:rsid w:val="002005B0"/>
    <w:rsid w:val="0020218B"/>
    <w:rsid w:val="00204A53"/>
    <w:rsid w:val="002056C3"/>
    <w:rsid w:val="002058A9"/>
    <w:rsid w:val="00206BA6"/>
    <w:rsid w:val="00210200"/>
    <w:rsid w:val="0021076C"/>
    <w:rsid w:val="002136C9"/>
    <w:rsid w:val="00213BBD"/>
    <w:rsid w:val="00215037"/>
    <w:rsid w:val="002216B8"/>
    <w:rsid w:val="00223FCC"/>
    <w:rsid w:val="00226C00"/>
    <w:rsid w:val="00231CCE"/>
    <w:rsid w:val="00235C79"/>
    <w:rsid w:val="00237427"/>
    <w:rsid w:val="00240B61"/>
    <w:rsid w:val="00242BA1"/>
    <w:rsid w:val="0024415E"/>
    <w:rsid w:val="00244F29"/>
    <w:rsid w:val="00251585"/>
    <w:rsid w:val="0025598C"/>
    <w:rsid w:val="002573C7"/>
    <w:rsid w:val="002672BE"/>
    <w:rsid w:val="002677EE"/>
    <w:rsid w:val="002741DF"/>
    <w:rsid w:val="002805AF"/>
    <w:rsid w:val="0028151A"/>
    <w:rsid w:val="00282085"/>
    <w:rsid w:val="00285455"/>
    <w:rsid w:val="002856A6"/>
    <w:rsid w:val="00286129"/>
    <w:rsid w:val="00291B96"/>
    <w:rsid w:val="00291D66"/>
    <w:rsid w:val="00293E1C"/>
    <w:rsid w:val="0029530A"/>
    <w:rsid w:val="00295642"/>
    <w:rsid w:val="00295672"/>
    <w:rsid w:val="002A02F7"/>
    <w:rsid w:val="002A0531"/>
    <w:rsid w:val="002A18BB"/>
    <w:rsid w:val="002A5E50"/>
    <w:rsid w:val="002A757B"/>
    <w:rsid w:val="002A7D92"/>
    <w:rsid w:val="002B0A0E"/>
    <w:rsid w:val="002B3FAF"/>
    <w:rsid w:val="002B7A0E"/>
    <w:rsid w:val="002C06E4"/>
    <w:rsid w:val="002C2071"/>
    <w:rsid w:val="002C252B"/>
    <w:rsid w:val="002C25AF"/>
    <w:rsid w:val="002C2CD7"/>
    <w:rsid w:val="002C3C37"/>
    <w:rsid w:val="002D06E1"/>
    <w:rsid w:val="002D0B2B"/>
    <w:rsid w:val="002D21B1"/>
    <w:rsid w:val="002D2995"/>
    <w:rsid w:val="002D363D"/>
    <w:rsid w:val="002D6043"/>
    <w:rsid w:val="002D65B4"/>
    <w:rsid w:val="002E0A19"/>
    <w:rsid w:val="002E4A69"/>
    <w:rsid w:val="002E5E08"/>
    <w:rsid w:val="002F30F8"/>
    <w:rsid w:val="002F48AE"/>
    <w:rsid w:val="002F5992"/>
    <w:rsid w:val="002F5BCA"/>
    <w:rsid w:val="002F63B4"/>
    <w:rsid w:val="0030077E"/>
    <w:rsid w:val="003041F3"/>
    <w:rsid w:val="003102D3"/>
    <w:rsid w:val="00313339"/>
    <w:rsid w:val="00314FAA"/>
    <w:rsid w:val="0031667D"/>
    <w:rsid w:val="00317ACA"/>
    <w:rsid w:val="003201AD"/>
    <w:rsid w:val="003203DE"/>
    <w:rsid w:val="00323AFF"/>
    <w:rsid w:val="00326C8B"/>
    <w:rsid w:val="003271D1"/>
    <w:rsid w:val="0033237F"/>
    <w:rsid w:val="00332EDB"/>
    <w:rsid w:val="00333203"/>
    <w:rsid w:val="00340EF0"/>
    <w:rsid w:val="003446EE"/>
    <w:rsid w:val="003549A8"/>
    <w:rsid w:val="00356842"/>
    <w:rsid w:val="00364398"/>
    <w:rsid w:val="0036741A"/>
    <w:rsid w:val="00370A26"/>
    <w:rsid w:val="00375CA0"/>
    <w:rsid w:val="00375EE9"/>
    <w:rsid w:val="00376108"/>
    <w:rsid w:val="00377A81"/>
    <w:rsid w:val="00385BD1"/>
    <w:rsid w:val="003864CE"/>
    <w:rsid w:val="00390220"/>
    <w:rsid w:val="00392C1F"/>
    <w:rsid w:val="00397117"/>
    <w:rsid w:val="003A34A0"/>
    <w:rsid w:val="003A3A70"/>
    <w:rsid w:val="003A516B"/>
    <w:rsid w:val="003B121D"/>
    <w:rsid w:val="003B4282"/>
    <w:rsid w:val="003B47C8"/>
    <w:rsid w:val="003B4F2E"/>
    <w:rsid w:val="003B5859"/>
    <w:rsid w:val="003C10C1"/>
    <w:rsid w:val="003C1EB3"/>
    <w:rsid w:val="003C1FA2"/>
    <w:rsid w:val="003C1FC8"/>
    <w:rsid w:val="003C48D8"/>
    <w:rsid w:val="003C53E0"/>
    <w:rsid w:val="003C5CFA"/>
    <w:rsid w:val="003D036C"/>
    <w:rsid w:val="003D34AC"/>
    <w:rsid w:val="003D3BE5"/>
    <w:rsid w:val="003D64CE"/>
    <w:rsid w:val="003E04CB"/>
    <w:rsid w:val="003E2AD2"/>
    <w:rsid w:val="003E2B3A"/>
    <w:rsid w:val="003E622F"/>
    <w:rsid w:val="003F0EBE"/>
    <w:rsid w:val="003F1B94"/>
    <w:rsid w:val="003F3E05"/>
    <w:rsid w:val="003F460D"/>
    <w:rsid w:val="003F61D4"/>
    <w:rsid w:val="0040035F"/>
    <w:rsid w:val="00407656"/>
    <w:rsid w:val="00407C6F"/>
    <w:rsid w:val="004111DC"/>
    <w:rsid w:val="00415C01"/>
    <w:rsid w:val="0042161F"/>
    <w:rsid w:val="004217EE"/>
    <w:rsid w:val="00423533"/>
    <w:rsid w:val="004236CE"/>
    <w:rsid w:val="0042528D"/>
    <w:rsid w:val="0042733A"/>
    <w:rsid w:val="0043000B"/>
    <w:rsid w:val="00430932"/>
    <w:rsid w:val="0043426C"/>
    <w:rsid w:val="00434DAF"/>
    <w:rsid w:val="0043779B"/>
    <w:rsid w:val="00440498"/>
    <w:rsid w:val="0044518F"/>
    <w:rsid w:val="00445ABC"/>
    <w:rsid w:val="0044634F"/>
    <w:rsid w:val="0044662C"/>
    <w:rsid w:val="0044787E"/>
    <w:rsid w:val="004505B7"/>
    <w:rsid w:val="00454254"/>
    <w:rsid w:val="00454CF9"/>
    <w:rsid w:val="004551AE"/>
    <w:rsid w:val="004552DA"/>
    <w:rsid w:val="00455A0E"/>
    <w:rsid w:val="004567E3"/>
    <w:rsid w:val="0046067F"/>
    <w:rsid w:val="00461467"/>
    <w:rsid w:val="00461A1B"/>
    <w:rsid w:val="00461E1F"/>
    <w:rsid w:val="00462696"/>
    <w:rsid w:val="00463D86"/>
    <w:rsid w:val="00464446"/>
    <w:rsid w:val="00466B26"/>
    <w:rsid w:val="0047126B"/>
    <w:rsid w:val="00471987"/>
    <w:rsid w:val="00472C18"/>
    <w:rsid w:val="0047603B"/>
    <w:rsid w:val="00477CC7"/>
    <w:rsid w:val="00480D8D"/>
    <w:rsid w:val="00482720"/>
    <w:rsid w:val="00482C1C"/>
    <w:rsid w:val="004838EA"/>
    <w:rsid w:val="0048611C"/>
    <w:rsid w:val="004878BC"/>
    <w:rsid w:val="00487E98"/>
    <w:rsid w:val="004944C8"/>
    <w:rsid w:val="00494CAA"/>
    <w:rsid w:val="004961EC"/>
    <w:rsid w:val="004962C2"/>
    <w:rsid w:val="004972DE"/>
    <w:rsid w:val="004A148B"/>
    <w:rsid w:val="004A2050"/>
    <w:rsid w:val="004A3170"/>
    <w:rsid w:val="004A62F6"/>
    <w:rsid w:val="004A6DA0"/>
    <w:rsid w:val="004A6FBC"/>
    <w:rsid w:val="004B0E06"/>
    <w:rsid w:val="004B490F"/>
    <w:rsid w:val="004B69A4"/>
    <w:rsid w:val="004B7D3E"/>
    <w:rsid w:val="004C09CF"/>
    <w:rsid w:val="004C0C3A"/>
    <w:rsid w:val="004C480D"/>
    <w:rsid w:val="004C5380"/>
    <w:rsid w:val="004D427F"/>
    <w:rsid w:val="004D4C8C"/>
    <w:rsid w:val="004D638F"/>
    <w:rsid w:val="004D6550"/>
    <w:rsid w:val="004E11CD"/>
    <w:rsid w:val="004E21C7"/>
    <w:rsid w:val="004E764D"/>
    <w:rsid w:val="004F1138"/>
    <w:rsid w:val="004F1B5D"/>
    <w:rsid w:val="004F1C5C"/>
    <w:rsid w:val="004F3826"/>
    <w:rsid w:val="004F3D53"/>
    <w:rsid w:val="004F3DF7"/>
    <w:rsid w:val="005017AC"/>
    <w:rsid w:val="0050475F"/>
    <w:rsid w:val="00506718"/>
    <w:rsid w:val="00507A09"/>
    <w:rsid w:val="005150FE"/>
    <w:rsid w:val="00516D2B"/>
    <w:rsid w:val="0052159A"/>
    <w:rsid w:val="00531140"/>
    <w:rsid w:val="00531701"/>
    <w:rsid w:val="00533608"/>
    <w:rsid w:val="00534686"/>
    <w:rsid w:val="00534954"/>
    <w:rsid w:val="00534CB4"/>
    <w:rsid w:val="005351C9"/>
    <w:rsid w:val="005352CF"/>
    <w:rsid w:val="00535316"/>
    <w:rsid w:val="0053629C"/>
    <w:rsid w:val="00537DEC"/>
    <w:rsid w:val="00540B4C"/>
    <w:rsid w:val="00542303"/>
    <w:rsid w:val="00544031"/>
    <w:rsid w:val="005466B9"/>
    <w:rsid w:val="00547B59"/>
    <w:rsid w:val="005501F5"/>
    <w:rsid w:val="0055568E"/>
    <w:rsid w:val="00555AB8"/>
    <w:rsid w:val="00555BDE"/>
    <w:rsid w:val="00556C89"/>
    <w:rsid w:val="00556DB6"/>
    <w:rsid w:val="005571EB"/>
    <w:rsid w:val="00565710"/>
    <w:rsid w:val="005673BE"/>
    <w:rsid w:val="00567BF4"/>
    <w:rsid w:val="00570F78"/>
    <w:rsid w:val="005760B7"/>
    <w:rsid w:val="00576B29"/>
    <w:rsid w:val="00576B44"/>
    <w:rsid w:val="00576FAD"/>
    <w:rsid w:val="00577119"/>
    <w:rsid w:val="00577655"/>
    <w:rsid w:val="00584EAB"/>
    <w:rsid w:val="005909A0"/>
    <w:rsid w:val="00591898"/>
    <w:rsid w:val="00594F36"/>
    <w:rsid w:val="005A1F34"/>
    <w:rsid w:val="005A40F5"/>
    <w:rsid w:val="005A4FBF"/>
    <w:rsid w:val="005A53AF"/>
    <w:rsid w:val="005B005D"/>
    <w:rsid w:val="005B04C4"/>
    <w:rsid w:val="005B104D"/>
    <w:rsid w:val="005B3592"/>
    <w:rsid w:val="005B3EE3"/>
    <w:rsid w:val="005B590F"/>
    <w:rsid w:val="005C0E12"/>
    <w:rsid w:val="005C1110"/>
    <w:rsid w:val="005C26FB"/>
    <w:rsid w:val="005C4EBE"/>
    <w:rsid w:val="005D6BF0"/>
    <w:rsid w:val="005E0F7D"/>
    <w:rsid w:val="005E1212"/>
    <w:rsid w:val="005E1C9C"/>
    <w:rsid w:val="005E305B"/>
    <w:rsid w:val="005E5D5E"/>
    <w:rsid w:val="005E60DB"/>
    <w:rsid w:val="005E62A9"/>
    <w:rsid w:val="005E757B"/>
    <w:rsid w:val="005F25BE"/>
    <w:rsid w:val="005F32A5"/>
    <w:rsid w:val="006065DA"/>
    <w:rsid w:val="00611573"/>
    <w:rsid w:val="00616D9A"/>
    <w:rsid w:val="00621842"/>
    <w:rsid w:val="00622A00"/>
    <w:rsid w:val="00622E88"/>
    <w:rsid w:val="00627011"/>
    <w:rsid w:val="0063079F"/>
    <w:rsid w:val="00631B6F"/>
    <w:rsid w:val="006331B6"/>
    <w:rsid w:val="006344D1"/>
    <w:rsid w:val="00634D94"/>
    <w:rsid w:val="00637E64"/>
    <w:rsid w:val="0064034F"/>
    <w:rsid w:val="00641328"/>
    <w:rsid w:val="00645F30"/>
    <w:rsid w:val="00646AF7"/>
    <w:rsid w:val="006520DC"/>
    <w:rsid w:val="00653A59"/>
    <w:rsid w:val="006557BF"/>
    <w:rsid w:val="00663F81"/>
    <w:rsid w:val="00667F2A"/>
    <w:rsid w:val="00671C1D"/>
    <w:rsid w:val="00671DEF"/>
    <w:rsid w:val="00672F39"/>
    <w:rsid w:val="006735F5"/>
    <w:rsid w:val="00674A98"/>
    <w:rsid w:val="00676801"/>
    <w:rsid w:val="006772F1"/>
    <w:rsid w:val="006800F0"/>
    <w:rsid w:val="00681B80"/>
    <w:rsid w:val="00683A8A"/>
    <w:rsid w:val="00684569"/>
    <w:rsid w:val="0068757A"/>
    <w:rsid w:val="00690BAA"/>
    <w:rsid w:val="006952B1"/>
    <w:rsid w:val="0069537B"/>
    <w:rsid w:val="006A1611"/>
    <w:rsid w:val="006A181F"/>
    <w:rsid w:val="006A76EA"/>
    <w:rsid w:val="006A7F75"/>
    <w:rsid w:val="006B2592"/>
    <w:rsid w:val="006B4B08"/>
    <w:rsid w:val="006B6B30"/>
    <w:rsid w:val="006B7D2B"/>
    <w:rsid w:val="006C4911"/>
    <w:rsid w:val="006D09D3"/>
    <w:rsid w:val="006D1832"/>
    <w:rsid w:val="006D1A91"/>
    <w:rsid w:val="006E13A2"/>
    <w:rsid w:val="006F50A1"/>
    <w:rsid w:val="006F51FA"/>
    <w:rsid w:val="006F68BC"/>
    <w:rsid w:val="006F6E4B"/>
    <w:rsid w:val="006F7C7C"/>
    <w:rsid w:val="006F7D91"/>
    <w:rsid w:val="00704849"/>
    <w:rsid w:val="00711F87"/>
    <w:rsid w:val="007135EB"/>
    <w:rsid w:val="0071371F"/>
    <w:rsid w:val="00715133"/>
    <w:rsid w:val="0071744C"/>
    <w:rsid w:val="00717719"/>
    <w:rsid w:val="00720BCF"/>
    <w:rsid w:val="0072144C"/>
    <w:rsid w:val="00721E65"/>
    <w:rsid w:val="00723BE1"/>
    <w:rsid w:val="00727687"/>
    <w:rsid w:val="007278C4"/>
    <w:rsid w:val="0073572D"/>
    <w:rsid w:val="007375BB"/>
    <w:rsid w:val="007411C9"/>
    <w:rsid w:val="00741B60"/>
    <w:rsid w:val="007420B2"/>
    <w:rsid w:val="007434A9"/>
    <w:rsid w:val="00746563"/>
    <w:rsid w:val="00747CB4"/>
    <w:rsid w:val="00747D2D"/>
    <w:rsid w:val="00752A73"/>
    <w:rsid w:val="0075582A"/>
    <w:rsid w:val="007558CD"/>
    <w:rsid w:val="00757A3D"/>
    <w:rsid w:val="00761091"/>
    <w:rsid w:val="00761926"/>
    <w:rsid w:val="007634A8"/>
    <w:rsid w:val="007639F3"/>
    <w:rsid w:val="00765046"/>
    <w:rsid w:val="0076523F"/>
    <w:rsid w:val="00765CCE"/>
    <w:rsid w:val="007721E1"/>
    <w:rsid w:val="00774B99"/>
    <w:rsid w:val="00775BD4"/>
    <w:rsid w:val="007761C1"/>
    <w:rsid w:val="00776DA4"/>
    <w:rsid w:val="007817B8"/>
    <w:rsid w:val="00784171"/>
    <w:rsid w:val="007868B1"/>
    <w:rsid w:val="00786E31"/>
    <w:rsid w:val="00790508"/>
    <w:rsid w:val="007921A3"/>
    <w:rsid w:val="00793034"/>
    <w:rsid w:val="00795577"/>
    <w:rsid w:val="0079649C"/>
    <w:rsid w:val="007A058E"/>
    <w:rsid w:val="007A3556"/>
    <w:rsid w:val="007A361B"/>
    <w:rsid w:val="007A3688"/>
    <w:rsid w:val="007A3914"/>
    <w:rsid w:val="007A4D68"/>
    <w:rsid w:val="007A540B"/>
    <w:rsid w:val="007A5DCB"/>
    <w:rsid w:val="007B72B7"/>
    <w:rsid w:val="007B7516"/>
    <w:rsid w:val="007C4D67"/>
    <w:rsid w:val="007D12F4"/>
    <w:rsid w:val="007D3772"/>
    <w:rsid w:val="007D43C3"/>
    <w:rsid w:val="007D74AD"/>
    <w:rsid w:val="007E0201"/>
    <w:rsid w:val="007E06A6"/>
    <w:rsid w:val="007E0A12"/>
    <w:rsid w:val="007E0E11"/>
    <w:rsid w:val="007E1AFA"/>
    <w:rsid w:val="007E2516"/>
    <w:rsid w:val="007E277A"/>
    <w:rsid w:val="007E720E"/>
    <w:rsid w:val="007E7D51"/>
    <w:rsid w:val="007F1645"/>
    <w:rsid w:val="007F17C6"/>
    <w:rsid w:val="007F5EF3"/>
    <w:rsid w:val="007F5F98"/>
    <w:rsid w:val="0080574C"/>
    <w:rsid w:val="008059DD"/>
    <w:rsid w:val="00810E8D"/>
    <w:rsid w:val="0081126E"/>
    <w:rsid w:val="00817198"/>
    <w:rsid w:val="0081720F"/>
    <w:rsid w:val="00817AFE"/>
    <w:rsid w:val="00822210"/>
    <w:rsid w:val="00824167"/>
    <w:rsid w:val="0082430F"/>
    <w:rsid w:val="00825682"/>
    <w:rsid w:val="00827994"/>
    <w:rsid w:val="0083180C"/>
    <w:rsid w:val="00834BB1"/>
    <w:rsid w:val="00840C5A"/>
    <w:rsid w:val="00843437"/>
    <w:rsid w:val="00847249"/>
    <w:rsid w:val="0084774A"/>
    <w:rsid w:val="00852A42"/>
    <w:rsid w:val="00852B9B"/>
    <w:rsid w:val="00852FC0"/>
    <w:rsid w:val="0085789A"/>
    <w:rsid w:val="00861682"/>
    <w:rsid w:val="008631FC"/>
    <w:rsid w:val="00873982"/>
    <w:rsid w:val="00876123"/>
    <w:rsid w:val="00881F71"/>
    <w:rsid w:val="00884B65"/>
    <w:rsid w:val="008873E1"/>
    <w:rsid w:val="00890D20"/>
    <w:rsid w:val="00894AB9"/>
    <w:rsid w:val="0089605A"/>
    <w:rsid w:val="008A1593"/>
    <w:rsid w:val="008A2CE1"/>
    <w:rsid w:val="008B06B2"/>
    <w:rsid w:val="008B16ED"/>
    <w:rsid w:val="008B4D63"/>
    <w:rsid w:val="008B50C1"/>
    <w:rsid w:val="008B743A"/>
    <w:rsid w:val="008B7930"/>
    <w:rsid w:val="008C1592"/>
    <w:rsid w:val="008C2F99"/>
    <w:rsid w:val="008C365D"/>
    <w:rsid w:val="008C6240"/>
    <w:rsid w:val="008C7C86"/>
    <w:rsid w:val="008D052E"/>
    <w:rsid w:val="008D0D23"/>
    <w:rsid w:val="008D108D"/>
    <w:rsid w:val="008D3F74"/>
    <w:rsid w:val="008D480A"/>
    <w:rsid w:val="008D4F18"/>
    <w:rsid w:val="008D6A61"/>
    <w:rsid w:val="008E02A2"/>
    <w:rsid w:val="008E134F"/>
    <w:rsid w:val="008E1D0D"/>
    <w:rsid w:val="008E52D8"/>
    <w:rsid w:val="008F07AD"/>
    <w:rsid w:val="008F2F5A"/>
    <w:rsid w:val="008F32BC"/>
    <w:rsid w:val="008F38B1"/>
    <w:rsid w:val="00900CBE"/>
    <w:rsid w:val="009054F6"/>
    <w:rsid w:val="009065DF"/>
    <w:rsid w:val="009068D1"/>
    <w:rsid w:val="0090734A"/>
    <w:rsid w:val="00910A28"/>
    <w:rsid w:val="00910CBF"/>
    <w:rsid w:val="00911AB2"/>
    <w:rsid w:val="009131D2"/>
    <w:rsid w:val="00913E5C"/>
    <w:rsid w:val="00921527"/>
    <w:rsid w:val="00923525"/>
    <w:rsid w:val="00926B4D"/>
    <w:rsid w:val="009273CB"/>
    <w:rsid w:val="00930476"/>
    <w:rsid w:val="00930E64"/>
    <w:rsid w:val="00931372"/>
    <w:rsid w:val="009315F5"/>
    <w:rsid w:val="00933935"/>
    <w:rsid w:val="009346A7"/>
    <w:rsid w:val="00935C33"/>
    <w:rsid w:val="009400C3"/>
    <w:rsid w:val="009461A0"/>
    <w:rsid w:val="0095081B"/>
    <w:rsid w:val="00951336"/>
    <w:rsid w:val="00952BCA"/>
    <w:rsid w:val="00960D9D"/>
    <w:rsid w:val="00960ED7"/>
    <w:rsid w:val="0096490B"/>
    <w:rsid w:val="00965D62"/>
    <w:rsid w:val="00966920"/>
    <w:rsid w:val="00967468"/>
    <w:rsid w:val="009712B5"/>
    <w:rsid w:val="00980648"/>
    <w:rsid w:val="00981107"/>
    <w:rsid w:val="00983100"/>
    <w:rsid w:val="00985F0A"/>
    <w:rsid w:val="0098665E"/>
    <w:rsid w:val="00986B7A"/>
    <w:rsid w:val="00991A7C"/>
    <w:rsid w:val="00992F7E"/>
    <w:rsid w:val="0099362F"/>
    <w:rsid w:val="00994DA5"/>
    <w:rsid w:val="00996C41"/>
    <w:rsid w:val="009A0548"/>
    <w:rsid w:val="009A0CB2"/>
    <w:rsid w:val="009A4673"/>
    <w:rsid w:val="009A47E5"/>
    <w:rsid w:val="009A699F"/>
    <w:rsid w:val="009A6F58"/>
    <w:rsid w:val="009B0185"/>
    <w:rsid w:val="009B1123"/>
    <w:rsid w:val="009B1810"/>
    <w:rsid w:val="009B1A9D"/>
    <w:rsid w:val="009B3BDB"/>
    <w:rsid w:val="009B3C7B"/>
    <w:rsid w:val="009B450A"/>
    <w:rsid w:val="009B4EDD"/>
    <w:rsid w:val="009B54A8"/>
    <w:rsid w:val="009C3E2F"/>
    <w:rsid w:val="009C42C2"/>
    <w:rsid w:val="009C4463"/>
    <w:rsid w:val="009C5336"/>
    <w:rsid w:val="009C5715"/>
    <w:rsid w:val="009D3432"/>
    <w:rsid w:val="009D3DCF"/>
    <w:rsid w:val="009D6B69"/>
    <w:rsid w:val="009E04FD"/>
    <w:rsid w:val="009E1F7F"/>
    <w:rsid w:val="009F0CBC"/>
    <w:rsid w:val="009F2468"/>
    <w:rsid w:val="009F399A"/>
    <w:rsid w:val="009F45D1"/>
    <w:rsid w:val="009F5D2A"/>
    <w:rsid w:val="009F6AA6"/>
    <w:rsid w:val="00A017FF"/>
    <w:rsid w:val="00A025B3"/>
    <w:rsid w:val="00A03102"/>
    <w:rsid w:val="00A07242"/>
    <w:rsid w:val="00A07E1C"/>
    <w:rsid w:val="00A11C9A"/>
    <w:rsid w:val="00A11FB6"/>
    <w:rsid w:val="00A12C37"/>
    <w:rsid w:val="00A2047F"/>
    <w:rsid w:val="00A20FDC"/>
    <w:rsid w:val="00A22A53"/>
    <w:rsid w:val="00A26C6D"/>
    <w:rsid w:val="00A2732E"/>
    <w:rsid w:val="00A27555"/>
    <w:rsid w:val="00A27E56"/>
    <w:rsid w:val="00A31749"/>
    <w:rsid w:val="00A3308F"/>
    <w:rsid w:val="00A34C27"/>
    <w:rsid w:val="00A3703D"/>
    <w:rsid w:val="00A41649"/>
    <w:rsid w:val="00A45020"/>
    <w:rsid w:val="00A452E3"/>
    <w:rsid w:val="00A479D8"/>
    <w:rsid w:val="00A47C72"/>
    <w:rsid w:val="00A50848"/>
    <w:rsid w:val="00A527C3"/>
    <w:rsid w:val="00A611E3"/>
    <w:rsid w:val="00A71EB1"/>
    <w:rsid w:val="00A72835"/>
    <w:rsid w:val="00A75BE5"/>
    <w:rsid w:val="00A76902"/>
    <w:rsid w:val="00A76BAF"/>
    <w:rsid w:val="00A7762F"/>
    <w:rsid w:val="00A77665"/>
    <w:rsid w:val="00A80C6D"/>
    <w:rsid w:val="00A8259E"/>
    <w:rsid w:val="00A842BB"/>
    <w:rsid w:val="00A86A8F"/>
    <w:rsid w:val="00A8799B"/>
    <w:rsid w:val="00A93C79"/>
    <w:rsid w:val="00A93E60"/>
    <w:rsid w:val="00A95A51"/>
    <w:rsid w:val="00AA36E5"/>
    <w:rsid w:val="00AA3CDE"/>
    <w:rsid w:val="00AA4BB7"/>
    <w:rsid w:val="00AA62CA"/>
    <w:rsid w:val="00AA643A"/>
    <w:rsid w:val="00AB1B3C"/>
    <w:rsid w:val="00AB30E2"/>
    <w:rsid w:val="00AB5AA1"/>
    <w:rsid w:val="00AB7A9A"/>
    <w:rsid w:val="00AC5987"/>
    <w:rsid w:val="00AC6BBC"/>
    <w:rsid w:val="00AC7528"/>
    <w:rsid w:val="00AD184E"/>
    <w:rsid w:val="00AD30B1"/>
    <w:rsid w:val="00AD5634"/>
    <w:rsid w:val="00AE1B00"/>
    <w:rsid w:val="00AE3185"/>
    <w:rsid w:val="00AE4C8F"/>
    <w:rsid w:val="00AF0178"/>
    <w:rsid w:val="00AF2CFB"/>
    <w:rsid w:val="00AF457A"/>
    <w:rsid w:val="00AF4F51"/>
    <w:rsid w:val="00AF778A"/>
    <w:rsid w:val="00B00197"/>
    <w:rsid w:val="00B00958"/>
    <w:rsid w:val="00B02E99"/>
    <w:rsid w:val="00B04E3B"/>
    <w:rsid w:val="00B1036F"/>
    <w:rsid w:val="00B10699"/>
    <w:rsid w:val="00B12F76"/>
    <w:rsid w:val="00B149F4"/>
    <w:rsid w:val="00B17B3D"/>
    <w:rsid w:val="00B17CFB"/>
    <w:rsid w:val="00B20C2F"/>
    <w:rsid w:val="00B22253"/>
    <w:rsid w:val="00B30264"/>
    <w:rsid w:val="00B31D27"/>
    <w:rsid w:val="00B35A10"/>
    <w:rsid w:val="00B36434"/>
    <w:rsid w:val="00B40A02"/>
    <w:rsid w:val="00B46C72"/>
    <w:rsid w:val="00B5060A"/>
    <w:rsid w:val="00B50872"/>
    <w:rsid w:val="00B50916"/>
    <w:rsid w:val="00B52B1F"/>
    <w:rsid w:val="00B6544D"/>
    <w:rsid w:val="00B65BE5"/>
    <w:rsid w:val="00B66008"/>
    <w:rsid w:val="00B674D0"/>
    <w:rsid w:val="00B678E6"/>
    <w:rsid w:val="00B71138"/>
    <w:rsid w:val="00B71746"/>
    <w:rsid w:val="00B7369A"/>
    <w:rsid w:val="00B75D0F"/>
    <w:rsid w:val="00B77DBF"/>
    <w:rsid w:val="00B86256"/>
    <w:rsid w:val="00B87629"/>
    <w:rsid w:val="00B906AC"/>
    <w:rsid w:val="00B91D54"/>
    <w:rsid w:val="00B92A30"/>
    <w:rsid w:val="00B94C05"/>
    <w:rsid w:val="00B9505D"/>
    <w:rsid w:val="00B95CD5"/>
    <w:rsid w:val="00B968D8"/>
    <w:rsid w:val="00BA1A63"/>
    <w:rsid w:val="00BA79BF"/>
    <w:rsid w:val="00BB3138"/>
    <w:rsid w:val="00BB3549"/>
    <w:rsid w:val="00BB3C11"/>
    <w:rsid w:val="00BB5567"/>
    <w:rsid w:val="00BB6232"/>
    <w:rsid w:val="00BB7BAA"/>
    <w:rsid w:val="00BC0CB3"/>
    <w:rsid w:val="00BC2266"/>
    <w:rsid w:val="00BC2E5F"/>
    <w:rsid w:val="00BC5278"/>
    <w:rsid w:val="00BC5E38"/>
    <w:rsid w:val="00BC654E"/>
    <w:rsid w:val="00BD0A3C"/>
    <w:rsid w:val="00BD5CB4"/>
    <w:rsid w:val="00BD5ECC"/>
    <w:rsid w:val="00BD6BF4"/>
    <w:rsid w:val="00BD7C93"/>
    <w:rsid w:val="00BD7D69"/>
    <w:rsid w:val="00BE2973"/>
    <w:rsid w:val="00BE76FF"/>
    <w:rsid w:val="00BF22BB"/>
    <w:rsid w:val="00BF6CD9"/>
    <w:rsid w:val="00C04D6D"/>
    <w:rsid w:val="00C05349"/>
    <w:rsid w:val="00C06EB9"/>
    <w:rsid w:val="00C07EBB"/>
    <w:rsid w:val="00C128BC"/>
    <w:rsid w:val="00C1402F"/>
    <w:rsid w:val="00C15A88"/>
    <w:rsid w:val="00C16833"/>
    <w:rsid w:val="00C17A93"/>
    <w:rsid w:val="00C2102F"/>
    <w:rsid w:val="00C21E5A"/>
    <w:rsid w:val="00C3059E"/>
    <w:rsid w:val="00C33EB0"/>
    <w:rsid w:val="00C41202"/>
    <w:rsid w:val="00C43AB8"/>
    <w:rsid w:val="00C44DEC"/>
    <w:rsid w:val="00C500A2"/>
    <w:rsid w:val="00C5055A"/>
    <w:rsid w:val="00C50C5F"/>
    <w:rsid w:val="00C51FCE"/>
    <w:rsid w:val="00C52362"/>
    <w:rsid w:val="00C53ED3"/>
    <w:rsid w:val="00C55167"/>
    <w:rsid w:val="00C556F9"/>
    <w:rsid w:val="00C614DB"/>
    <w:rsid w:val="00C6167F"/>
    <w:rsid w:val="00C63645"/>
    <w:rsid w:val="00C67650"/>
    <w:rsid w:val="00C7086F"/>
    <w:rsid w:val="00C71084"/>
    <w:rsid w:val="00C7125E"/>
    <w:rsid w:val="00C72234"/>
    <w:rsid w:val="00C72A58"/>
    <w:rsid w:val="00C733DF"/>
    <w:rsid w:val="00C75F69"/>
    <w:rsid w:val="00C76365"/>
    <w:rsid w:val="00C827B5"/>
    <w:rsid w:val="00C86528"/>
    <w:rsid w:val="00C873C3"/>
    <w:rsid w:val="00C9000B"/>
    <w:rsid w:val="00C90ADF"/>
    <w:rsid w:val="00C91230"/>
    <w:rsid w:val="00C9259A"/>
    <w:rsid w:val="00CA045F"/>
    <w:rsid w:val="00CA0836"/>
    <w:rsid w:val="00CA0D16"/>
    <w:rsid w:val="00CA35A9"/>
    <w:rsid w:val="00CA6555"/>
    <w:rsid w:val="00CA7DCD"/>
    <w:rsid w:val="00CA7FC2"/>
    <w:rsid w:val="00CB0863"/>
    <w:rsid w:val="00CB0A5C"/>
    <w:rsid w:val="00CB16A2"/>
    <w:rsid w:val="00CB1855"/>
    <w:rsid w:val="00CB399A"/>
    <w:rsid w:val="00CB3DA9"/>
    <w:rsid w:val="00CB4160"/>
    <w:rsid w:val="00CC2066"/>
    <w:rsid w:val="00CC733F"/>
    <w:rsid w:val="00CC784B"/>
    <w:rsid w:val="00CD0768"/>
    <w:rsid w:val="00CD0852"/>
    <w:rsid w:val="00CD08F1"/>
    <w:rsid w:val="00CD1195"/>
    <w:rsid w:val="00CD1A4E"/>
    <w:rsid w:val="00CD20E7"/>
    <w:rsid w:val="00CD3894"/>
    <w:rsid w:val="00CD73DE"/>
    <w:rsid w:val="00CE0B6D"/>
    <w:rsid w:val="00CE2050"/>
    <w:rsid w:val="00CE36CA"/>
    <w:rsid w:val="00CF3553"/>
    <w:rsid w:val="00CF4182"/>
    <w:rsid w:val="00CF5A9D"/>
    <w:rsid w:val="00CF5C6C"/>
    <w:rsid w:val="00CF5EB0"/>
    <w:rsid w:val="00CF6021"/>
    <w:rsid w:val="00CF7457"/>
    <w:rsid w:val="00CF7C15"/>
    <w:rsid w:val="00D0450E"/>
    <w:rsid w:val="00D05864"/>
    <w:rsid w:val="00D07621"/>
    <w:rsid w:val="00D12E80"/>
    <w:rsid w:val="00D142E2"/>
    <w:rsid w:val="00D15438"/>
    <w:rsid w:val="00D156AE"/>
    <w:rsid w:val="00D17324"/>
    <w:rsid w:val="00D17A16"/>
    <w:rsid w:val="00D20E4F"/>
    <w:rsid w:val="00D23840"/>
    <w:rsid w:val="00D264AE"/>
    <w:rsid w:val="00D27C86"/>
    <w:rsid w:val="00D30ECA"/>
    <w:rsid w:val="00D3107B"/>
    <w:rsid w:val="00D34CE2"/>
    <w:rsid w:val="00D403F6"/>
    <w:rsid w:val="00D40864"/>
    <w:rsid w:val="00D43ADE"/>
    <w:rsid w:val="00D4415B"/>
    <w:rsid w:val="00D4416C"/>
    <w:rsid w:val="00D451BF"/>
    <w:rsid w:val="00D47E14"/>
    <w:rsid w:val="00D5114E"/>
    <w:rsid w:val="00D52933"/>
    <w:rsid w:val="00D54A08"/>
    <w:rsid w:val="00D6117C"/>
    <w:rsid w:val="00D61FEA"/>
    <w:rsid w:val="00D65C57"/>
    <w:rsid w:val="00D6678B"/>
    <w:rsid w:val="00D66B48"/>
    <w:rsid w:val="00D71CAA"/>
    <w:rsid w:val="00D71D4E"/>
    <w:rsid w:val="00D73D49"/>
    <w:rsid w:val="00D753C2"/>
    <w:rsid w:val="00D76439"/>
    <w:rsid w:val="00D7669B"/>
    <w:rsid w:val="00D82232"/>
    <w:rsid w:val="00D87533"/>
    <w:rsid w:val="00D9017A"/>
    <w:rsid w:val="00DA0456"/>
    <w:rsid w:val="00DA0882"/>
    <w:rsid w:val="00DA2711"/>
    <w:rsid w:val="00DA2757"/>
    <w:rsid w:val="00DA30D0"/>
    <w:rsid w:val="00DA3B3A"/>
    <w:rsid w:val="00DB1060"/>
    <w:rsid w:val="00DB23F0"/>
    <w:rsid w:val="00DB29C2"/>
    <w:rsid w:val="00DB390C"/>
    <w:rsid w:val="00DB4478"/>
    <w:rsid w:val="00DB60C1"/>
    <w:rsid w:val="00DB6DD6"/>
    <w:rsid w:val="00DB7C96"/>
    <w:rsid w:val="00DC0011"/>
    <w:rsid w:val="00DC0B23"/>
    <w:rsid w:val="00DC433F"/>
    <w:rsid w:val="00DC48E4"/>
    <w:rsid w:val="00DD240F"/>
    <w:rsid w:val="00DD2A43"/>
    <w:rsid w:val="00DD2B56"/>
    <w:rsid w:val="00DD50CC"/>
    <w:rsid w:val="00DD5339"/>
    <w:rsid w:val="00DD69E1"/>
    <w:rsid w:val="00DD6FEC"/>
    <w:rsid w:val="00DE409E"/>
    <w:rsid w:val="00DE4236"/>
    <w:rsid w:val="00DE5BEC"/>
    <w:rsid w:val="00DE7028"/>
    <w:rsid w:val="00DF0B57"/>
    <w:rsid w:val="00DF487C"/>
    <w:rsid w:val="00DF7250"/>
    <w:rsid w:val="00DF7525"/>
    <w:rsid w:val="00DF77A8"/>
    <w:rsid w:val="00E01D70"/>
    <w:rsid w:val="00E02D3C"/>
    <w:rsid w:val="00E02E42"/>
    <w:rsid w:val="00E065C0"/>
    <w:rsid w:val="00E06BAC"/>
    <w:rsid w:val="00E06F58"/>
    <w:rsid w:val="00E07D74"/>
    <w:rsid w:val="00E1589A"/>
    <w:rsid w:val="00E20E4F"/>
    <w:rsid w:val="00E230F5"/>
    <w:rsid w:val="00E24865"/>
    <w:rsid w:val="00E24A41"/>
    <w:rsid w:val="00E24C9E"/>
    <w:rsid w:val="00E267E0"/>
    <w:rsid w:val="00E26A5D"/>
    <w:rsid w:val="00E26B20"/>
    <w:rsid w:val="00E27A5E"/>
    <w:rsid w:val="00E35CC8"/>
    <w:rsid w:val="00E376E7"/>
    <w:rsid w:val="00E42A55"/>
    <w:rsid w:val="00E43C76"/>
    <w:rsid w:val="00E4625A"/>
    <w:rsid w:val="00E5066E"/>
    <w:rsid w:val="00E51291"/>
    <w:rsid w:val="00E5269D"/>
    <w:rsid w:val="00E53764"/>
    <w:rsid w:val="00E53FB9"/>
    <w:rsid w:val="00E57FB5"/>
    <w:rsid w:val="00E603C4"/>
    <w:rsid w:val="00E60D31"/>
    <w:rsid w:val="00E63359"/>
    <w:rsid w:val="00E64BA0"/>
    <w:rsid w:val="00E65177"/>
    <w:rsid w:val="00E65921"/>
    <w:rsid w:val="00E71C7F"/>
    <w:rsid w:val="00E7525F"/>
    <w:rsid w:val="00E77D03"/>
    <w:rsid w:val="00E87703"/>
    <w:rsid w:val="00E927FB"/>
    <w:rsid w:val="00E94923"/>
    <w:rsid w:val="00E94BA7"/>
    <w:rsid w:val="00E957BC"/>
    <w:rsid w:val="00E96C45"/>
    <w:rsid w:val="00EA16A3"/>
    <w:rsid w:val="00EA221E"/>
    <w:rsid w:val="00EA2ED4"/>
    <w:rsid w:val="00EA30D4"/>
    <w:rsid w:val="00EA37C7"/>
    <w:rsid w:val="00EA46A5"/>
    <w:rsid w:val="00EB6A59"/>
    <w:rsid w:val="00EC0051"/>
    <w:rsid w:val="00EC3D3C"/>
    <w:rsid w:val="00EC5AA7"/>
    <w:rsid w:val="00ED0BE9"/>
    <w:rsid w:val="00ED367A"/>
    <w:rsid w:val="00ED75A6"/>
    <w:rsid w:val="00ED75EF"/>
    <w:rsid w:val="00EE0DE8"/>
    <w:rsid w:val="00EE1434"/>
    <w:rsid w:val="00EE6FDE"/>
    <w:rsid w:val="00EF05B7"/>
    <w:rsid w:val="00EF2B8C"/>
    <w:rsid w:val="00EF7FE9"/>
    <w:rsid w:val="00F0024E"/>
    <w:rsid w:val="00F03E5D"/>
    <w:rsid w:val="00F051D9"/>
    <w:rsid w:val="00F05BC7"/>
    <w:rsid w:val="00F10BF3"/>
    <w:rsid w:val="00F115D3"/>
    <w:rsid w:val="00F127FD"/>
    <w:rsid w:val="00F13A31"/>
    <w:rsid w:val="00F213B2"/>
    <w:rsid w:val="00F22F0F"/>
    <w:rsid w:val="00F243A6"/>
    <w:rsid w:val="00F24492"/>
    <w:rsid w:val="00F247CC"/>
    <w:rsid w:val="00F30743"/>
    <w:rsid w:val="00F361F9"/>
    <w:rsid w:val="00F40224"/>
    <w:rsid w:val="00F41F07"/>
    <w:rsid w:val="00F43B79"/>
    <w:rsid w:val="00F450BB"/>
    <w:rsid w:val="00F4553B"/>
    <w:rsid w:val="00F47FF2"/>
    <w:rsid w:val="00F51ED0"/>
    <w:rsid w:val="00F544F8"/>
    <w:rsid w:val="00F54E2C"/>
    <w:rsid w:val="00F60334"/>
    <w:rsid w:val="00F61118"/>
    <w:rsid w:val="00F66653"/>
    <w:rsid w:val="00F66C7E"/>
    <w:rsid w:val="00F7311B"/>
    <w:rsid w:val="00F76221"/>
    <w:rsid w:val="00F76D4E"/>
    <w:rsid w:val="00F7783F"/>
    <w:rsid w:val="00F80EFB"/>
    <w:rsid w:val="00F92946"/>
    <w:rsid w:val="00F95281"/>
    <w:rsid w:val="00F95F40"/>
    <w:rsid w:val="00F97016"/>
    <w:rsid w:val="00F97832"/>
    <w:rsid w:val="00FA54B6"/>
    <w:rsid w:val="00FA6267"/>
    <w:rsid w:val="00FB35DE"/>
    <w:rsid w:val="00FB3DA8"/>
    <w:rsid w:val="00FB6D3B"/>
    <w:rsid w:val="00FB6D3D"/>
    <w:rsid w:val="00FC554A"/>
    <w:rsid w:val="00FC5F5C"/>
    <w:rsid w:val="00FC7969"/>
    <w:rsid w:val="00FD2CCD"/>
    <w:rsid w:val="00FD3E91"/>
    <w:rsid w:val="00FD415B"/>
    <w:rsid w:val="00FD5F81"/>
    <w:rsid w:val="00FD72CC"/>
    <w:rsid w:val="00FD79D4"/>
    <w:rsid w:val="00FD7B51"/>
    <w:rsid w:val="00FE0FCE"/>
    <w:rsid w:val="00FE13F5"/>
    <w:rsid w:val="00FE1F3B"/>
    <w:rsid w:val="00FE3BBC"/>
    <w:rsid w:val="00FE4A38"/>
    <w:rsid w:val="00FE63C1"/>
    <w:rsid w:val="00FE6421"/>
    <w:rsid w:val="00FF2B65"/>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4297733-B733-480E-941E-D0F0B7493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dNoteBibliographyChar">
    <w:name w:val="EndNote Bibliography Char"/>
    <w:basedOn w:val="DefaultParagraphFont"/>
    <w:link w:val="EndNoteBibliography"/>
    <w:qFormat/>
    <w:rsid w:val="00A07E1C"/>
    <w:rPr>
      <w:rFonts w:ascii="Calibri" w:hAnsi="Calibri" w:cs="Times New Roman"/>
      <w:color w:val="00000A"/>
    </w:rPr>
  </w:style>
  <w:style w:type="paragraph" w:customStyle="1" w:styleId="EndNoteBibliography">
    <w:name w:val="EndNote Bibliography"/>
    <w:basedOn w:val="Normal"/>
    <w:link w:val="EndNoteBibliographyChar"/>
    <w:qFormat/>
    <w:rsid w:val="00A07E1C"/>
    <w:pPr>
      <w:spacing w:after="200" w:line="240" w:lineRule="auto"/>
    </w:pPr>
    <w:rPr>
      <w:rFonts w:ascii="Calibri" w:hAnsi="Calibri" w:cs="Times New Roman"/>
      <w:color w:val="00000A"/>
    </w:rPr>
  </w:style>
  <w:style w:type="character" w:styleId="Hyperlink">
    <w:name w:val="Hyperlink"/>
    <w:basedOn w:val="DefaultParagraphFont"/>
    <w:uiPriority w:val="99"/>
    <w:unhideWhenUsed/>
    <w:rsid w:val="00092EDF"/>
    <w:rPr>
      <w:color w:val="0563C1" w:themeColor="hyperlink"/>
      <w:u w:val="single"/>
    </w:rPr>
  </w:style>
  <w:style w:type="paragraph" w:styleId="Header">
    <w:name w:val="header"/>
    <w:basedOn w:val="Normal"/>
    <w:link w:val="HeaderChar"/>
    <w:uiPriority w:val="99"/>
    <w:unhideWhenUsed/>
    <w:rsid w:val="00E2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0E4F"/>
  </w:style>
  <w:style w:type="paragraph" w:styleId="Footer">
    <w:name w:val="footer"/>
    <w:basedOn w:val="Normal"/>
    <w:link w:val="FooterChar"/>
    <w:uiPriority w:val="99"/>
    <w:unhideWhenUsed/>
    <w:rsid w:val="00E2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0E4F"/>
  </w:style>
  <w:style w:type="paragraph" w:styleId="ListParagraph">
    <w:name w:val="List Paragraph"/>
    <w:basedOn w:val="Normal"/>
    <w:uiPriority w:val="34"/>
    <w:qFormat/>
    <w:rsid w:val="00AB30E2"/>
    <w:pPr>
      <w:ind w:left="720"/>
      <w:contextualSpacing/>
    </w:pPr>
  </w:style>
  <w:style w:type="character" w:styleId="FollowedHyperlink">
    <w:name w:val="FollowedHyperlink"/>
    <w:basedOn w:val="DefaultParagraphFont"/>
    <w:uiPriority w:val="99"/>
    <w:semiHidden/>
    <w:unhideWhenUsed/>
    <w:rsid w:val="00333203"/>
    <w:rPr>
      <w:color w:val="954F72" w:themeColor="followedHyperlink"/>
      <w:u w:val="single"/>
    </w:rPr>
  </w:style>
  <w:style w:type="table" w:styleId="PlainTable2">
    <w:name w:val="Plain Table 2"/>
    <w:basedOn w:val="TableNormal"/>
    <w:uiPriority w:val="42"/>
    <w:rsid w:val="008B50C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602824">
      <w:bodyDiv w:val="1"/>
      <w:marLeft w:val="0"/>
      <w:marRight w:val="0"/>
      <w:marTop w:val="0"/>
      <w:marBottom w:val="0"/>
      <w:divBdr>
        <w:top w:val="none" w:sz="0" w:space="0" w:color="auto"/>
        <w:left w:val="none" w:sz="0" w:space="0" w:color="auto"/>
        <w:bottom w:val="none" w:sz="0" w:space="0" w:color="auto"/>
        <w:right w:val="none" w:sz="0" w:space="0" w:color="auto"/>
      </w:divBdr>
    </w:div>
    <w:div w:id="181357267">
      <w:bodyDiv w:val="1"/>
      <w:marLeft w:val="0"/>
      <w:marRight w:val="0"/>
      <w:marTop w:val="0"/>
      <w:marBottom w:val="0"/>
      <w:divBdr>
        <w:top w:val="none" w:sz="0" w:space="0" w:color="auto"/>
        <w:left w:val="none" w:sz="0" w:space="0" w:color="auto"/>
        <w:bottom w:val="none" w:sz="0" w:space="0" w:color="auto"/>
        <w:right w:val="none" w:sz="0" w:space="0" w:color="auto"/>
      </w:divBdr>
    </w:div>
    <w:div w:id="221839416">
      <w:bodyDiv w:val="1"/>
      <w:marLeft w:val="0"/>
      <w:marRight w:val="0"/>
      <w:marTop w:val="0"/>
      <w:marBottom w:val="0"/>
      <w:divBdr>
        <w:top w:val="none" w:sz="0" w:space="0" w:color="auto"/>
        <w:left w:val="none" w:sz="0" w:space="0" w:color="auto"/>
        <w:bottom w:val="none" w:sz="0" w:space="0" w:color="auto"/>
        <w:right w:val="none" w:sz="0" w:space="0" w:color="auto"/>
      </w:divBdr>
    </w:div>
    <w:div w:id="469517487">
      <w:bodyDiv w:val="1"/>
      <w:marLeft w:val="0"/>
      <w:marRight w:val="0"/>
      <w:marTop w:val="0"/>
      <w:marBottom w:val="0"/>
      <w:divBdr>
        <w:top w:val="none" w:sz="0" w:space="0" w:color="auto"/>
        <w:left w:val="none" w:sz="0" w:space="0" w:color="auto"/>
        <w:bottom w:val="none" w:sz="0" w:space="0" w:color="auto"/>
        <w:right w:val="none" w:sz="0" w:space="0" w:color="auto"/>
      </w:divBdr>
    </w:div>
    <w:div w:id="668142651">
      <w:bodyDiv w:val="1"/>
      <w:marLeft w:val="0"/>
      <w:marRight w:val="0"/>
      <w:marTop w:val="0"/>
      <w:marBottom w:val="0"/>
      <w:divBdr>
        <w:top w:val="none" w:sz="0" w:space="0" w:color="auto"/>
        <w:left w:val="none" w:sz="0" w:space="0" w:color="auto"/>
        <w:bottom w:val="none" w:sz="0" w:space="0" w:color="auto"/>
        <w:right w:val="none" w:sz="0" w:space="0" w:color="auto"/>
      </w:divBdr>
    </w:div>
    <w:div w:id="692263780">
      <w:bodyDiv w:val="1"/>
      <w:marLeft w:val="0"/>
      <w:marRight w:val="0"/>
      <w:marTop w:val="0"/>
      <w:marBottom w:val="0"/>
      <w:divBdr>
        <w:top w:val="none" w:sz="0" w:space="0" w:color="auto"/>
        <w:left w:val="none" w:sz="0" w:space="0" w:color="auto"/>
        <w:bottom w:val="none" w:sz="0" w:space="0" w:color="auto"/>
        <w:right w:val="none" w:sz="0" w:space="0" w:color="auto"/>
      </w:divBdr>
    </w:div>
    <w:div w:id="773479209">
      <w:bodyDiv w:val="1"/>
      <w:marLeft w:val="0"/>
      <w:marRight w:val="0"/>
      <w:marTop w:val="0"/>
      <w:marBottom w:val="0"/>
      <w:divBdr>
        <w:top w:val="none" w:sz="0" w:space="0" w:color="auto"/>
        <w:left w:val="none" w:sz="0" w:space="0" w:color="auto"/>
        <w:bottom w:val="none" w:sz="0" w:space="0" w:color="auto"/>
        <w:right w:val="none" w:sz="0" w:space="0" w:color="auto"/>
      </w:divBdr>
    </w:div>
    <w:div w:id="802315009">
      <w:bodyDiv w:val="1"/>
      <w:marLeft w:val="0"/>
      <w:marRight w:val="0"/>
      <w:marTop w:val="0"/>
      <w:marBottom w:val="0"/>
      <w:divBdr>
        <w:top w:val="none" w:sz="0" w:space="0" w:color="auto"/>
        <w:left w:val="none" w:sz="0" w:space="0" w:color="auto"/>
        <w:bottom w:val="none" w:sz="0" w:space="0" w:color="auto"/>
        <w:right w:val="none" w:sz="0" w:space="0" w:color="auto"/>
      </w:divBdr>
    </w:div>
    <w:div w:id="1080565410">
      <w:bodyDiv w:val="1"/>
      <w:marLeft w:val="0"/>
      <w:marRight w:val="0"/>
      <w:marTop w:val="0"/>
      <w:marBottom w:val="0"/>
      <w:divBdr>
        <w:top w:val="none" w:sz="0" w:space="0" w:color="auto"/>
        <w:left w:val="none" w:sz="0" w:space="0" w:color="auto"/>
        <w:bottom w:val="none" w:sz="0" w:space="0" w:color="auto"/>
        <w:right w:val="none" w:sz="0" w:space="0" w:color="auto"/>
      </w:divBdr>
    </w:div>
    <w:div w:id="1180270494">
      <w:bodyDiv w:val="1"/>
      <w:marLeft w:val="0"/>
      <w:marRight w:val="0"/>
      <w:marTop w:val="0"/>
      <w:marBottom w:val="0"/>
      <w:divBdr>
        <w:top w:val="none" w:sz="0" w:space="0" w:color="auto"/>
        <w:left w:val="none" w:sz="0" w:space="0" w:color="auto"/>
        <w:bottom w:val="none" w:sz="0" w:space="0" w:color="auto"/>
        <w:right w:val="none" w:sz="0" w:space="0" w:color="auto"/>
      </w:divBdr>
    </w:div>
    <w:div w:id="1207377512">
      <w:bodyDiv w:val="1"/>
      <w:marLeft w:val="0"/>
      <w:marRight w:val="0"/>
      <w:marTop w:val="0"/>
      <w:marBottom w:val="0"/>
      <w:divBdr>
        <w:top w:val="none" w:sz="0" w:space="0" w:color="auto"/>
        <w:left w:val="none" w:sz="0" w:space="0" w:color="auto"/>
        <w:bottom w:val="none" w:sz="0" w:space="0" w:color="auto"/>
        <w:right w:val="none" w:sz="0" w:space="0" w:color="auto"/>
      </w:divBdr>
    </w:div>
    <w:div w:id="1305812296">
      <w:bodyDiv w:val="1"/>
      <w:marLeft w:val="0"/>
      <w:marRight w:val="0"/>
      <w:marTop w:val="0"/>
      <w:marBottom w:val="0"/>
      <w:divBdr>
        <w:top w:val="none" w:sz="0" w:space="0" w:color="auto"/>
        <w:left w:val="none" w:sz="0" w:space="0" w:color="auto"/>
        <w:bottom w:val="none" w:sz="0" w:space="0" w:color="auto"/>
        <w:right w:val="none" w:sz="0" w:space="0" w:color="auto"/>
      </w:divBdr>
    </w:div>
    <w:div w:id="1405684191">
      <w:bodyDiv w:val="1"/>
      <w:marLeft w:val="0"/>
      <w:marRight w:val="0"/>
      <w:marTop w:val="0"/>
      <w:marBottom w:val="0"/>
      <w:divBdr>
        <w:top w:val="none" w:sz="0" w:space="0" w:color="auto"/>
        <w:left w:val="none" w:sz="0" w:space="0" w:color="auto"/>
        <w:bottom w:val="none" w:sz="0" w:space="0" w:color="auto"/>
        <w:right w:val="none" w:sz="0" w:space="0" w:color="auto"/>
      </w:divBdr>
    </w:div>
    <w:div w:id="1465002973">
      <w:bodyDiv w:val="1"/>
      <w:marLeft w:val="0"/>
      <w:marRight w:val="0"/>
      <w:marTop w:val="0"/>
      <w:marBottom w:val="0"/>
      <w:divBdr>
        <w:top w:val="none" w:sz="0" w:space="0" w:color="auto"/>
        <w:left w:val="none" w:sz="0" w:space="0" w:color="auto"/>
        <w:bottom w:val="none" w:sz="0" w:space="0" w:color="auto"/>
        <w:right w:val="none" w:sz="0" w:space="0" w:color="auto"/>
      </w:divBdr>
    </w:div>
    <w:div w:id="1539735022">
      <w:bodyDiv w:val="1"/>
      <w:marLeft w:val="0"/>
      <w:marRight w:val="0"/>
      <w:marTop w:val="0"/>
      <w:marBottom w:val="0"/>
      <w:divBdr>
        <w:top w:val="none" w:sz="0" w:space="0" w:color="auto"/>
        <w:left w:val="none" w:sz="0" w:space="0" w:color="auto"/>
        <w:bottom w:val="none" w:sz="0" w:space="0" w:color="auto"/>
        <w:right w:val="none" w:sz="0" w:space="0" w:color="auto"/>
      </w:divBdr>
    </w:div>
    <w:div w:id="1571504186">
      <w:bodyDiv w:val="1"/>
      <w:marLeft w:val="0"/>
      <w:marRight w:val="0"/>
      <w:marTop w:val="0"/>
      <w:marBottom w:val="0"/>
      <w:divBdr>
        <w:top w:val="none" w:sz="0" w:space="0" w:color="auto"/>
        <w:left w:val="none" w:sz="0" w:space="0" w:color="auto"/>
        <w:bottom w:val="none" w:sz="0" w:space="0" w:color="auto"/>
        <w:right w:val="none" w:sz="0" w:space="0" w:color="auto"/>
      </w:divBdr>
    </w:div>
    <w:div w:id="1709796784">
      <w:bodyDiv w:val="1"/>
      <w:marLeft w:val="0"/>
      <w:marRight w:val="0"/>
      <w:marTop w:val="0"/>
      <w:marBottom w:val="0"/>
      <w:divBdr>
        <w:top w:val="none" w:sz="0" w:space="0" w:color="auto"/>
        <w:left w:val="none" w:sz="0" w:space="0" w:color="auto"/>
        <w:bottom w:val="none" w:sz="0" w:space="0" w:color="auto"/>
        <w:right w:val="none" w:sz="0" w:space="0" w:color="auto"/>
      </w:divBdr>
    </w:div>
    <w:div w:id="177150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mailto:genlighttech@gmail.com" TargetMode="External"/><Relationship Id="rId12" Type="http://schemas.openxmlformats.org/officeDocument/2006/relationships/header" Target="header3.xml"/><Relationship Id="rId17"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oleObject" Target="embeddings/oleObject1.bin"/><Relationship Id="rId10" Type="http://schemas.openxmlformats.org/officeDocument/2006/relationships/footer" Target="footer1.xml"/><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8</Pages>
  <Words>2822</Words>
  <Characters>16087</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Guennadi Glinskii</dc:creator>
  <cp:keywords/>
  <dc:description/>
  <cp:lastModifiedBy>Guennadi Glinskii</cp:lastModifiedBy>
  <cp:revision>5</cp:revision>
  <cp:lastPrinted>2023-08-08T08:22:00Z</cp:lastPrinted>
  <dcterms:created xsi:type="dcterms:W3CDTF">2024-10-31T02:39:00Z</dcterms:created>
  <dcterms:modified xsi:type="dcterms:W3CDTF">2024-10-31T02:57:00Z</dcterms:modified>
</cp:coreProperties>
</file>